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40A" w:rsidRDefault="00485BD5" w:rsidP="00485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jc w:val="center"/>
      </w:pPr>
      <w:r>
        <w:t>Note FHP SSR</w:t>
      </w:r>
    </w:p>
    <w:p w:rsidR="00485BD5" w:rsidRDefault="00485BD5" w:rsidP="00485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jc w:val="center"/>
      </w:pPr>
      <w:r>
        <w:t>Lettre de liaison – Lundi 3 avril 2017</w:t>
      </w:r>
    </w:p>
    <w:p w:rsidR="00485BD5" w:rsidRPr="005D5099" w:rsidRDefault="00485BD5">
      <w:pPr>
        <w:rPr>
          <w:sz w:val="10"/>
          <w:szCs w:val="10"/>
        </w:rPr>
      </w:pPr>
    </w:p>
    <w:p w:rsidR="00485BD5" w:rsidRPr="00485BD5" w:rsidRDefault="00BA44A9" w:rsidP="00485BD5">
      <w:pPr>
        <w:pStyle w:val="Paragraphedeliste"/>
        <w:numPr>
          <w:ilvl w:val="0"/>
          <w:numId w:val="1"/>
        </w:numPr>
        <w:pBdr>
          <w:bottom w:val="single" w:sz="4" w:space="1" w:color="auto"/>
        </w:pBdr>
        <w:rPr>
          <w:rFonts w:ascii="Garamond" w:hAnsi="Garamond"/>
          <w:b/>
          <w:color w:val="002060"/>
          <w:sz w:val="24"/>
          <w:szCs w:val="24"/>
        </w:rPr>
      </w:pPr>
      <w:r>
        <w:rPr>
          <w:rFonts w:ascii="Garamond" w:hAnsi="Garamond"/>
          <w:b/>
          <w:color w:val="002060"/>
          <w:sz w:val="24"/>
          <w:szCs w:val="24"/>
        </w:rPr>
        <w:t>Contexte</w:t>
      </w:r>
    </w:p>
    <w:p w:rsidR="00485BD5" w:rsidRPr="004D25C7" w:rsidRDefault="00485BD5" w:rsidP="00485BD5">
      <w:pPr>
        <w:rPr>
          <w:sz w:val="2"/>
          <w:szCs w:val="2"/>
        </w:rPr>
      </w:pPr>
    </w:p>
    <w:p w:rsidR="00485BD5" w:rsidRDefault="00485BD5" w:rsidP="00485BD5">
      <w:pPr>
        <w:spacing w:after="240"/>
        <w:jc w:val="both"/>
      </w:pPr>
      <w:r w:rsidRPr="00485BD5">
        <w:rPr>
          <w:u w:val="single"/>
        </w:rPr>
        <w:t>Depuis le 1 er janvier 2017</w:t>
      </w:r>
      <w:r>
        <w:t>, la lettre de liaison</w:t>
      </w:r>
      <w:r w:rsidR="00E26CBE">
        <w:t xml:space="preserve"> (LDL)</w:t>
      </w:r>
      <w:r>
        <w:t xml:space="preserve">, instaurée par le décret n° 2016-995 du 20 juillet 2016 est </w:t>
      </w:r>
      <w:r w:rsidRPr="004D25C7">
        <w:rPr>
          <w:u w:val="single"/>
        </w:rPr>
        <w:t>obligatoire</w:t>
      </w:r>
      <w:r>
        <w:t xml:space="preserve">, en application de la Loi de santé, </w:t>
      </w:r>
      <w:r w:rsidRPr="004D25C7">
        <w:rPr>
          <w:u w:val="single"/>
        </w:rPr>
        <w:t>dans tous les établissements de santé</w:t>
      </w:r>
      <w:r>
        <w:t>.</w:t>
      </w:r>
    </w:p>
    <w:p w:rsidR="00485BD5" w:rsidRDefault="00485BD5" w:rsidP="00485BD5">
      <w:pPr>
        <w:spacing w:after="240"/>
        <w:jc w:val="both"/>
      </w:pPr>
      <w:r>
        <w:t xml:space="preserve">En pratique, ce document vise à </w:t>
      </w:r>
      <w:r w:rsidRPr="00485BD5">
        <w:t xml:space="preserve">améliorer l’échange d’informations sur le patient </w:t>
      </w:r>
      <w:r>
        <w:rPr>
          <w:u w:val="single"/>
        </w:rPr>
        <w:t>entre les acteurs de ville et les acteurs hospitali</w:t>
      </w:r>
      <w:bookmarkStart w:id="0" w:name="_GoBack"/>
      <w:bookmarkEnd w:id="0"/>
      <w:r>
        <w:rPr>
          <w:u w:val="single"/>
        </w:rPr>
        <w:t>ers</w:t>
      </w:r>
      <w:r>
        <w:t xml:space="preserve">, en vue de simplifier le parcours de soins et de coordonner au mieux les différents acteurs intervenant dans la prise en charge de ce dernier. </w:t>
      </w:r>
    </w:p>
    <w:p w:rsidR="00485BD5" w:rsidRDefault="00485BD5" w:rsidP="00485BD5">
      <w:pPr>
        <w:spacing w:after="240"/>
        <w:jc w:val="both"/>
      </w:pPr>
      <w:r>
        <w:t xml:space="preserve">Le décret est venu ainsi en détailler le contenu </w:t>
      </w:r>
      <w:r w:rsidR="004D25C7">
        <w:t xml:space="preserve">de cette lettre </w:t>
      </w:r>
      <w:r>
        <w:t>à l’entrée de l’établissement de santé, mais également et surtout à la sortie du patient de ce dernier.</w:t>
      </w:r>
    </w:p>
    <w:p w:rsidR="00485BD5" w:rsidRPr="004D25C7" w:rsidRDefault="00485BD5" w:rsidP="00485BD5">
      <w:pPr>
        <w:spacing w:after="240"/>
        <w:jc w:val="both"/>
        <w:rPr>
          <w:sz w:val="2"/>
          <w:szCs w:val="2"/>
        </w:rPr>
      </w:pPr>
    </w:p>
    <w:p w:rsidR="00485BD5" w:rsidRPr="00485BD5" w:rsidRDefault="00BA44A9" w:rsidP="00485BD5">
      <w:pPr>
        <w:pStyle w:val="Paragraphedeliste"/>
        <w:numPr>
          <w:ilvl w:val="0"/>
          <w:numId w:val="1"/>
        </w:numPr>
        <w:pBdr>
          <w:bottom w:val="single" w:sz="4" w:space="1" w:color="auto"/>
        </w:pBdr>
        <w:rPr>
          <w:rFonts w:ascii="Garamond" w:hAnsi="Garamond"/>
          <w:b/>
          <w:color w:val="002060"/>
          <w:sz w:val="24"/>
          <w:szCs w:val="24"/>
        </w:rPr>
      </w:pPr>
      <w:r>
        <w:rPr>
          <w:rFonts w:ascii="Garamond" w:hAnsi="Garamond"/>
          <w:b/>
          <w:color w:val="002060"/>
          <w:sz w:val="24"/>
          <w:szCs w:val="24"/>
        </w:rPr>
        <w:t>Modalités d’échanges et c</w:t>
      </w:r>
      <w:r w:rsidR="00485BD5" w:rsidRPr="00485BD5">
        <w:rPr>
          <w:rFonts w:ascii="Garamond" w:hAnsi="Garamond"/>
          <w:b/>
          <w:color w:val="002060"/>
          <w:sz w:val="24"/>
          <w:szCs w:val="24"/>
        </w:rPr>
        <w:t xml:space="preserve">ontenu de la lettre de liaison </w:t>
      </w:r>
    </w:p>
    <w:p w:rsidR="00485BD5" w:rsidRPr="00BA44A9" w:rsidRDefault="00485BD5" w:rsidP="00485BD5">
      <w:pPr>
        <w:spacing w:after="240"/>
        <w:jc w:val="both"/>
        <w:rPr>
          <w:sz w:val="4"/>
          <w:szCs w:val="4"/>
        </w:rPr>
      </w:pPr>
    </w:p>
    <w:p w:rsidR="00BA44A9" w:rsidRPr="00BA44A9" w:rsidRDefault="00BA44A9" w:rsidP="00BA44A9">
      <w:pPr>
        <w:pStyle w:val="Paragraphedeliste"/>
        <w:numPr>
          <w:ilvl w:val="0"/>
          <w:numId w:val="3"/>
        </w:numPr>
        <w:spacing w:after="240"/>
        <w:jc w:val="both"/>
        <w:rPr>
          <w:b/>
          <w:i/>
          <w:color w:val="2E74B5" w:themeColor="accent1" w:themeShade="BF"/>
        </w:rPr>
      </w:pPr>
      <w:r>
        <w:rPr>
          <w:b/>
          <w:i/>
          <w:color w:val="2E74B5" w:themeColor="accent1" w:themeShade="BF"/>
        </w:rPr>
        <w:t xml:space="preserve">L’obligation d’une lettre de liaison </w:t>
      </w:r>
      <w:r w:rsidRPr="004D25C7">
        <w:rPr>
          <w:b/>
          <w:i/>
          <w:color w:val="2E74B5" w:themeColor="accent1" w:themeShade="BF"/>
          <w:u w:val="single"/>
        </w:rPr>
        <w:t>lors de la demande d’admission</w:t>
      </w:r>
      <w:r w:rsidRPr="00BA44A9">
        <w:rPr>
          <w:b/>
          <w:i/>
          <w:color w:val="2E74B5" w:themeColor="accent1" w:themeShade="BF"/>
        </w:rPr>
        <w:t xml:space="preserve"> d’un patient dans un établissement de santé </w:t>
      </w:r>
    </w:p>
    <w:p w:rsidR="00BA44A9" w:rsidRDefault="00BA44A9" w:rsidP="00485BD5">
      <w:pPr>
        <w:spacing w:after="240"/>
        <w:jc w:val="both"/>
      </w:pPr>
      <w:r>
        <w:t xml:space="preserve">Il faut tout d’abord noter que le décret prévoit la </w:t>
      </w:r>
      <w:r w:rsidRPr="00A47FCE">
        <w:rPr>
          <w:u w:val="single"/>
        </w:rPr>
        <w:t>rédaction d’une lettre de liaison</w:t>
      </w:r>
      <w:r>
        <w:t xml:space="preserve">, en premier lieu, par le </w:t>
      </w:r>
      <w:r w:rsidRPr="00A47FCE">
        <w:rPr>
          <w:u w:val="single"/>
        </w:rPr>
        <w:t>praticien qui adresse le patient à l’établissement de santé</w:t>
      </w:r>
      <w:r>
        <w:t>. Dans ce cas, la demande d’admission doit être accompagnée d’une « </w:t>
      </w:r>
      <w:r w:rsidRPr="00A47FCE">
        <w:rPr>
          <w:i/>
        </w:rPr>
        <w:t>lettre de liaison synthétisant les informations nécessaires à la prise en charge du patient dont il dispose sur son lieu d'intervention</w:t>
      </w:r>
      <w:r>
        <w:t xml:space="preserve"> ». </w:t>
      </w:r>
    </w:p>
    <w:p w:rsidR="00BA44A9" w:rsidRDefault="00BA44A9" w:rsidP="00485BD5">
      <w:pPr>
        <w:spacing w:after="240"/>
        <w:jc w:val="both"/>
      </w:pPr>
      <w:r>
        <w:t xml:space="preserve">Cette lettre </w:t>
      </w:r>
      <w:r>
        <w:t>doit alors c</w:t>
      </w:r>
      <w:r>
        <w:t>omprend</w:t>
      </w:r>
      <w:r>
        <w:t>re</w:t>
      </w:r>
      <w:r>
        <w:t xml:space="preserve"> </w:t>
      </w:r>
      <w:r>
        <w:t>n</w:t>
      </w:r>
      <w:r>
        <w:t xml:space="preserve">otamment </w:t>
      </w:r>
      <w:r>
        <w:t>« </w:t>
      </w:r>
      <w:r w:rsidRPr="00A47FCE">
        <w:rPr>
          <w:i/>
        </w:rPr>
        <w:t>les motifs de la demande d'hospitalisation, les traitements en cours et les allergies connus</w:t>
      </w:r>
      <w:r>
        <w:t> »</w:t>
      </w:r>
      <w:r>
        <w:t>.</w:t>
      </w:r>
    </w:p>
    <w:p w:rsidR="00BA44A9" w:rsidRDefault="00BA44A9" w:rsidP="00485BD5">
      <w:pPr>
        <w:spacing w:after="240"/>
        <w:jc w:val="both"/>
      </w:pPr>
      <w:r>
        <w:t xml:space="preserve"> Elle est adressée par messagerie sécurisée ou par tout moyen garantissant la confidentialité des informations. Elle est versée dans le dossier médical partagé du patient si ce dossier a été créé, ou lui est remise.</w:t>
      </w:r>
    </w:p>
    <w:p w:rsidR="00485BD5" w:rsidRPr="00BA44A9" w:rsidRDefault="00BA44A9" w:rsidP="00BA44A9">
      <w:pPr>
        <w:pStyle w:val="Paragraphedeliste"/>
        <w:numPr>
          <w:ilvl w:val="0"/>
          <w:numId w:val="3"/>
        </w:numPr>
        <w:spacing w:after="240"/>
      </w:pPr>
      <w:r w:rsidRPr="00BA44A9">
        <w:rPr>
          <w:b/>
          <w:i/>
          <w:color w:val="2E74B5" w:themeColor="accent1" w:themeShade="BF"/>
        </w:rPr>
        <w:t>L’obligation d’une lettre de liaison</w:t>
      </w:r>
      <w:r>
        <w:rPr>
          <w:b/>
          <w:i/>
          <w:color w:val="2E74B5" w:themeColor="accent1" w:themeShade="BF"/>
        </w:rPr>
        <w:t xml:space="preserve"> </w:t>
      </w:r>
      <w:r w:rsidRPr="004D25C7">
        <w:rPr>
          <w:b/>
          <w:i/>
          <w:color w:val="2E74B5" w:themeColor="accent1" w:themeShade="BF"/>
          <w:u w:val="single"/>
        </w:rPr>
        <w:t>à la sortie</w:t>
      </w:r>
      <w:r>
        <w:rPr>
          <w:b/>
          <w:i/>
          <w:color w:val="2E74B5" w:themeColor="accent1" w:themeShade="BF"/>
        </w:rPr>
        <w:t xml:space="preserve"> du patient d’un établissement de santé </w:t>
      </w:r>
    </w:p>
    <w:p w:rsidR="00BA44A9" w:rsidRDefault="00057B90" w:rsidP="00057B90">
      <w:pPr>
        <w:spacing w:after="240"/>
        <w:jc w:val="both"/>
      </w:pPr>
      <w:r w:rsidRPr="00A47FCE">
        <w:t>Lors de la sortie de l'établissement de santé</w:t>
      </w:r>
      <w:r>
        <w:t xml:space="preserve">, une lettre de liaison, rédigée par le médecin de l'établissement qui l'a pris en charge, est </w:t>
      </w:r>
      <w:r w:rsidRPr="00A47FCE">
        <w:t>remise au patient</w:t>
      </w:r>
      <w:r w:rsidRPr="00057B90">
        <w:rPr>
          <w:u w:val="single"/>
        </w:rPr>
        <w:t xml:space="preserve"> </w:t>
      </w:r>
      <w:r w:rsidRPr="00057B90">
        <w:t>par ce médecin</w:t>
      </w:r>
      <w:r>
        <w:t>, ou par un autre membre de l'équipe de soins</w:t>
      </w:r>
      <w:r>
        <w:t xml:space="preserve"> qui l’a pris en charge et s’assure que l</w:t>
      </w:r>
      <w:r>
        <w:t>es informations utiles à la continuité des soins ont été comprises</w:t>
      </w:r>
    </w:p>
    <w:p w:rsidR="00485BD5" w:rsidRPr="005D5099" w:rsidRDefault="005D5099" w:rsidP="00057B90">
      <w:pPr>
        <w:spacing w:after="240"/>
        <w:jc w:val="both"/>
        <w:rPr>
          <w:i/>
          <w:color w:val="2E74B5" w:themeColor="accent1" w:themeShade="BF"/>
        </w:rPr>
      </w:pPr>
      <w:r w:rsidRPr="005D5099">
        <w:rPr>
          <w:i/>
          <w:color w:val="2E74B5" w:themeColor="accent1" w:themeShade="BF"/>
        </w:rPr>
        <w:sym w:font="Wingdings" w:char="F046"/>
      </w:r>
      <w:r w:rsidRPr="005D5099">
        <w:rPr>
          <w:i/>
          <w:color w:val="2E74B5" w:themeColor="accent1" w:themeShade="BF"/>
        </w:rPr>
        <w:t xml:space="preserve"> </w:t>
      </w:r>
      <w:r w:rsidR="00057B90" w:rsidRPr="005D5099">
        <w:rPr>
          <w:i/>
          <w:color w:val="2E74B5" w:themeColor="accent1" w:themeShade="BF"/>
        </w:rPr>
        <w:t xml:space="preserve">Il convient ici de noter qu’à la différence du compte rendu d’hospitalisation, sur lequel il sera revenu plus loin, </w:t>
      </w:r>
      <w:r w:rsidR="00057B90" w:rsidRPr="005D5099">
        <w:rPr>
          <w:b/>
          <w:i/>
          <w:color w:val="2E74B5" w:themeColor="accent1" w:themeShade="BF"/>
          <w:u w:val="single"/>
        </w:rPr>
        <w:t>la lettre de liaison doit être remise au patient par le médecin le jour de la sortie</w:t>
      </w:r>
      <w:r w:rsidR="00057B90" w:rsidRPr="005D5099">
        <w:rPr>
          <w:i/>
          <w:color w:val="2E74B5" w:themeColor="accent1" w:themeShade="BF"/>
        </w:rPr>
        <w:t xml:space="preserve"> (en lieu et place de J + 8). Cette immédiateté a été contestée par les Fédérations hospitalières et les syndicats de médecins. </w:t>
      </w:r>
    </w:p>
    <w:p w:rsidR="00057B90" w:rsidRDefault="00057B90" w:rsidP="00057B90">
      <w:pPr>
        <w:spacing w:after="240"/>
        <w:jc w:val="both"/>
      </w:pPr>
      <w:r>
        <w:t>Par ailleurs, la</w:t>
      </w:r>
      <w:r>
        <w:t xml:space="preserve"> lettre de liaison </w:t>
      </w:r>
      <w:r>
        <w:t>doit être également</w:t>
      </w:r>
      <w:r>
        <w:t xml:space="preserve"> </w:t>
      </w:r>
      <w:r w:rsidRPr="00A47FCE">
        <w:rPr>
          <w:u w:val="single"/>
        </w:rPr>
        <w:t>transmise le même jour, au</w:t>
      </w:r>
      <w:r w:rsidRPr="00057B90">
        <w:rPr>
          <w:u w:val="single"/>
        </w:rPr>
        <w:t xml:space="preserve"> médecin traitant et</w:t>
      </w:r>
      <w:r>
        <w:t xml:space="preserve">, le cas échéant, </w:t>
      </w:r>
      <w:r w:rsidRPr="00057B90">
        <w:rPr>
          <w:u w:val="single"/>
        </w:rPr>
        <w:t>au praticien qui a adressé le patient</w:t>
      </w:r>
      <w:r>
        <w:t xml:space="preserve">. Elle est adressée par messagerie sécurisée, ou par </w:t>
      </w:r>
      <w:r>
        <w:lastRenderedPageBreak/>
        <w:t>tout moyen garantissant la confidentialité des informations, et versée dans le dossier médical partagé du patient si ce dossier a été créé.</w:t>
      </w:r>
    </w:p>
    <w:p w:rsidR="00A47FCE" w:rsidRDefault="00A47FCE" w:rsidP="00057B90">
      <w:pPr>
        <w:spacing w:after="240"/>
        <w:jc w:val="both"/>
      </w:pPr>
      <w:r>
        <w:t>Son contenu</w:t>
      </w:r>
      <w:r w:rsidR="005D5099">
        <w:t>, fixé par le décret,</w:t>
      </w:r>
      <w:r>
        <w:t xml:space="preserve"> est le suivant : </w:t>
      </w:r>
    </w:p>
    <w:p w:rsidR="00A47FCE" w:rsidRDefault="00A47FCE" w:rsidP="00A47FCE">
      <w:pPr>
        <w:spacing w:after="240"/>
      </w:pPr>
      <w:r>
        <w:t xml:space="preserve">« </w:t>
      </w:r>
      <w:r w:rsidRPr="00A47FCE">
        <w:rPr>
          <w:i/>
        </w:rPr>
        <w:t xml:space="preserve">1° Identification du patient, du médecin traitant, le cas échéant du praticien </w:t>
      </w:r>
      <w:proofErr w:type="spellStart"/>
      <w:r w:rsidRPr="00A47FCE">
        <w:rPr>
          <w:i/>
        </w:rPr>
        <w:t>adresseur</w:t>
      </w:r>
      <w:proofErr w:type="spellEnd"/>
      <w:r w:rsidRPr="00A47FCE">
        <w:rPr>
          <w:i/>
        </w:rPr>
        <w:t>, ainsi que l'identification du médecin de l'établissement de santé qui a pris en charge le patient avec les dates et modalités d'entrée et d</w:t>
      </w:r>
      <w:r w:rsidRPr="00A47FCE">
        <w:rPr>
          <w:i/>
        </w:rPr>
        <w:t xml:space="preserve">e sortie d'hospitalisation ; </w:t>
      </w:r>
      <w:r w:rsidRPr="00A47FCE">
        <w:rPr>
          <w:i/>
        </w:rPr>
        <w:br/>
        <w:t xml:space="preserve">2° Motif d'hospitalisation ; </w:t>
      </w:r>
      <w:r w:rsidRPr="00A47FCE">
        <w:rPr>
          <w:i/>
        </w:rPr>
        <w:br/>
      </w:r>
      <w:r w:rsidRPr="00A47FCE">
        <w:rPr>
          <w:i/>
        </w:rPr>
        <w:t xml:space="preserve">3° </w:t>
      </w:r>
      <w:r w:rsidRPr="00A47FCE">
        <w:rPr>
          <w:i/>
          <w:u w:val="single"/>
        </w:rPr>
        <w:t>Synthèse médicale du séjour</w:t>
      </w:r>
      <w:r w:rsidRPr="00A47FCE">
        <w:rPr>
          <w:i/>
        </w:rPr>
        <w:t xml:space="preserve"> précisant le cas échéant, les événements indésirables survenus pendant l'hospitalisation, l'identification de micro-organismes </w:t>
      </w:r>
      <w:proofErr w:type="spellStart"/>
      <w:r w:rsidRPr="00A47FCE">
        <w:rPr>
          <w:i/>
        </w:rPr>
        <w:t>multirésistants</w:t>
      </w:r>
      <w:proofErr w:type="spellEnd"/>
      <w:r w:rsidRPr="00A47FCE">
        <w:rPr>
          <w:i/>
        </w:rPr>
        <w:t xml:space="preserve"> ou émergents, l'administration de produits sanguins ou dérivés du sang, la pose d'un disp</w:t>
      </w:r>
      <w:r w:rsidRPr="00A47FCE">
        <w:rPr>
          <w:i/>
        </w:rPr>
        <w:t xml:space="preserve">ositif médical implantable ; </w:t>
      </w:r>
      <w:r w:rsidRPr="00A47FCE">
        <w:rPr>
          <w:i/>
        </w:rPr>
        <w:br/>
      </w:r>
      <w:r w:rsidRPr="00A47FCE">
        <w:rPr>
          <w:i/>
        </w:rPr>
        <w:t>4° Traitements prescrits à la sortie de l'établissement (ou ordonnances de sortie) et ceux arrêtés durant le séjour et le motif d'arrêt ou de remplacement, en précisant, notamment pour les traitements médicamenteux, la posologie</w:t>
      </w:r>
      <w:r w:rsidRPr="00A47FCE">
        <w:rPr>
          <w:i/>
        </w:rPr>
        <w:t xml:space="preserve"> et la durée du traitement ; </w:t>
      </w:r>
      <w:r w:rsidRPr="00A47FCE">
        <w:rPr>
          <w:i/>
        </w:rPr>
        <w:br/>
      </w:r>
      <w:r w:rsidRPr="00A47FCE">
        <w:rPr>
          <w:i/>
        </w:rPr>
        <w:t>5° Annonce, le cas échéant, de l'attente de résultats d'examens ou d'autres informations qui complétero</w:t>
      </w:r>
      <w:r w:rsidRPr="00A47FCE">
        <w:rPr>
          <w:i/>
        </w:rPr>
        <w:t xml:space="preserve">nt cette lettre de liaison ; </w:t>
      </w:r>
      <w:r w:rsidRPr="00A47FCE">
        <w:rPr>
          <w:i/>
        </w:rPr>
        <w:br/>
      </w:r>
      <w:r w:rsidRPr="00A47FCE">
        <w:rPr>
          <w:i/>
        </w:rPr>
        <w:t>6° Suites à donner, le cas échéant, y compris d'ordre médico-social, tels que les actes prévus et à programmer, recommandations et surveillances particulières.</w:t>
      </w:r>
      <w:r>
        <w:t xml:space="preserve"> »</w:t>
      </w:r>
    </w:p>
    <w:p w:rsidR="00A47FCE" w:rsidRPr="004D25C7" w:rsidRDefault="00A47FCE" w:rsidP="004D25C7">
      <w:pPr>
        <w:spacing w:after="120"/>
        <w:rPr>
          <w:sz w:val="2"/>
          <w:szCs w:val="2"/>
        </w:rPr>
      </w:pPr>
    </w:p>
    <w:p w:rsidR="00A47FCE" w:rsidRPr="00A47FCE" w:rsidRDefault="0028769A" w:rsidP="00A47FCE">
      <w:pPr>
        <w:pStyle w:val="Paragraphedeliste"/>
        <w:numPr>
          <w:ilvl w:val="0"/>
          <w:numId w:val="1"/>
        </w:numPr>
        <w:pBdr>
          <w:bottom w:val="single" w:sz="4" w:space="1" w:color="auto"/>
        </w:pBdr>
        <w:rPr>
          <w:rFonts w:ascii="Garamond" w:hAnsi="Garamond"/>
          <w:b/>
          <w:color w:val="002060"/>
          <w:sz w:val="24"/>
          <w:szCs w:val="24"/>
        </w:rPr>
      </w:pPr>
      <w:r>
        <w:rPr>
          <w:rFonts w:ascii="Garamond" w:hAnsi="Garamond"/>
          <w:b/>
          <w:color w:val="002060"/>
          <w:sz w:val="24"/>
          <w:szCs w:val="24"/>
        </w:rPr>
        <w:t xml:space="preserve">Articulation </w:t>
      </w:r>
      <w:r w:rsidR="00A47FCE" w:rsidRPr="00A47FCE">
        <w:rPr>
          <w:rFonts w:ascii="Garamond" w:hAnsi="Garamond"/>
          <w:b/>
          <w:color w:val="002060"/>
          <w:sz w:val="24"/>
          <w:szCs w:val="24"/>
        </w:rPr>
        <w:t xml:space="preserve">de la lettre de liaison </w:t>
      </w:r>
      <w:r>
        <w:rPr>
          <w:rFonts w:ascii="Garamond" w:hAnsi="Garamond"/>
          <w:b/>
          <w:color w:val="002060"/>
          <w:sz w:val="24"/>
          <w:szCs w:val="24"/>
        </w:rPr>
        <w:t>et du compte rendu d’hospitalisation (CRH)</w:t>
      </w:r>
    </w:p>
    <w:p w:rsidR="00DC436B" w:rsidRPr="00DC436B" w:rsidRDefault="00DC436B" w:rsidP="00DC436B">
      <w:pPr>
        <w:spacing w:after="240"/>
        <w:jc w:val="both"/>
        <w:rPr>
          <w:sz w:val="2"/>
          <w:szCs w:val="2"/>
        </w:rPr>
      </w:pPr>
    </w:p>
    <w:p w:rsidR="00DC436B" w:rsidRDefault="00DC436B" w:rsidP="00DC436B">
      <w:pPr>
        <w:spacing w:after="240"/>
        <w:jc w:val="both"/>
      </w:pPr>
      <w:r>
        <w:t xml:space="preserve">Le décret </w:t>
      </w:r>
      <w:r>
        <w:t>a supprimé et remplacé les anciennes dispositions prévoyant la remise au patient, du « </w:t>
      </w:r>
      <w:r>
        <w:rPr>
          <w:i/>
          <w:iCs/>
        </w:rPr>
        <w:t>compte rendu d'hospitalisation et la lettre rédigée à l'occasion de la sortie</w:t>
      </w:r>
      <w:r>
        <w:t> », par « </w:t>
      </w:r>
      <w:r>
        <w:rPr>
          <w:i/>
          <w:iCs/>
        </w:rPr>
        <w:t>la lettre de liaison remise à la sortie</w:t>
      </w:r>
      <w:r>
        <w:t> ».</w:t>
      </w:r>
    </w:p>
    <w:p w:rsidR="00605199" w:rsidRDefault="00DC436B" w:rsidP="00605199">
      <w:pPr>
        <w:jc w:val="both"/>
      </w:pPr>
      <w:r>
        <w:t xml:space="preserve">Pour autant, </w:t>
      </w:r>
      <w:r w:rsidR="00605199">
        <w:t>certaines dispositions sont demeurées inchangées et notamment le fait que </w:t>
      </w:r>
      <w:r w:rsidR="00605199">
        <w:rPr>
          <w:i/>
          <w:iCs/>
          <w:lang w:eastAsia="fr-FR"/>
        </w:rPr>
        <w:t>« </w:t>
      </w:r>
      <w:r w:rsidR="00605199">
        <w:rPr>
          <w:i/>
          <w:iCs/>
          <w:u w:val="single"/>
        </w:rPr>
        <w:t>Toute personne a accès à l'ensemble des informations concernant sa santé détenues, à quelque titre que ce soit, par des professionnels et établissements de santé, qui sont formalisées</w:t>
      </w:r>
      <w:r w:rsidR="00605199">
        <w:rPr>
          <w:i/>
          <w:iCs/>
        </w:rPr>
        <w:t xml:space="preserve"> ou ont fait l'objet d'échanges écrits entre professionnels de santé, </w:t>
      </w:r>
      <w:r w:rsidR="00605199">
        <w:rPr>
          <w:i/>
          <w:iCs/>
          <w:u w:val="single"/>
        </w:rPr>
        <w:t>notamment</w:t>
      </w:r>
      <w:r w:rsidR="00605199">
        <w:rPr>
          <w:i/>
          <w:iCs/>
        </w:rPr>
        <w:t xml:space="preserve"> des résultats d'examen, </w:t>
      </w:r>
      <w:r w:rsidR="00605199">
        <w:rPr>
          <w:b/>
          <w:bCs/>
          <w:i/>
          <w:iCs/>
          <w:u w:val="single"/>
        </w:rPr>
        <w:t>comptes rendus</w:t>
      </w:r>
      <w:r w:rsidR="00605199">
        <w:rPr>
          <w:i/>
          <w:iCs/>
        </w:rPr>
        <w:t xml:space="preserve"> de consultation, d'intervention, d'exploration ou </w:t>
      </w:r>
      <w:r w:rsidR="00605199">
        <w:rPr>
          <w:b/>
          <w:bCs/>
          <w:i/>
          <w:iCs/>
          <w:u w:val="single"/>
        </w:rPr>
        <w:t>d'hospitalisation</w:t>
      </w:r>
      <w:r w:rsidR="00605199">
        <w:rPr>
          <w:i/>
          <w:iCs/>
        </w:rPr>
        <w:t>, des protocoles et prescriptions thérapeutiques mis en œuvre, feuilles de surveillance, correspondances entre professionnels de santé, à l'exception des informations mentionnant qu'elles ont été recueillies auprès de tiers n'intervenant pas dans la prise en charge thérapeutique ou concernant un tel tiers (…) ».</w:t>
      </w:r>
    </w:p>
    <w:p w:rsidR="00DC436B" w:rsidRPr="005D5099" w:rsidRDefault="005D5099" w:rsidP="00605199">
      <w:pPr>
        <w:spacing w:after="240"/>
        <w:jc w:val="both"/>
        <w:rPr>
          <w:i/>
          <w:color w:val="2E74B5" w:themeColor="accent1" w:themeShade="BF"/>
        </w:rPr>
      </w:pPr>
      <w:r w:rsidRPr="005D5099">
        <w:rPr>
          <w:i/>
          <w:color w:val="2E74B5" w:themeColor="accent1" w:themeShade="BF"/>
        </w:rPr>
        <w:sym w:font="Wingdings" w:char="F046"/>
      </w:r>
      <w:r w:rsidRPr="005D5099">
        <w:rPr>
          <w:i/>
          <w:color w:val="2E74B5" w:themeColor="accent1" w:themeShade="BF"/>
        </w:rPr>
        <w:t xml:space="preserve"> </w:t>
      </w:r>
      <w:r>
        <w:rPr>
          <w:i/>
          <w:color w:val="2E74B5" w:themeColor="accent1" w:themeShade="BF"/>
        </w:rPr>
        <w:t xml:space="preserve"> </w:t>
      </w:r>
      <w:r w:rsidR="00605199" w:rsidRPr="005D5099">
        <w:rPr>
          <w:i/>
          <w:color w:val="2E74B5" w:themeColor="accent1" w:themeShade="BF"/>
        </w:rPr>
        <w:t>La DGOS, interrogée sur ce point a confirmé le fait que</w:t>
      </w:r>
      <w:r w:rsidR="00605199" w:rsidRPr="005D5099">
        <w:rPr>
          <w:b/>
          <w:i/>
          <w:color w:val="2E74B5" w:themeColor="accent1" w:themeShade="BF"/>
        </w:rPr>
        <w:t xml:space="preserve"> </w:t>
      </w:r>
      <w:r w:rsidR="00605199" w:rsidRPr="005D5099">
        <w:rPr>
          <w:b/>
          <w:i/>
          <w:color w:val="2E74B5" w:themeColor="accent1" w:themeShade="BF"/>
          <w:u w:val="single"/>
        </w:rPr>
        <w:t>la lettre de liaison mettait fin au CRH</w:t>
      </w:r>
      <w:r w:rsidR="00605199" w:rsidRPr="005D5099">
        <w:rPr>
          <w:i/>
          <w:color w:val="2E74B5" w:themeColor="accent1" w:themeShade="BF"/>
        </w:rPr>
        <w:t xml:space="preserve">. </w:t>
      </w:r>
    </w:p>
    <w:p w:rsidR="0028769A" w:rsidRDefault="00605199" w:rsidP="004D25C7">
      <w:pPr>
        <w:spacing w:after="240"/>
        <w:jc w:val="both"/>
      </w:pPr>
      <w:r>
        <w:t xml:space="preserve">Ceci engendre plusieurs conséquences de terrain : </w:t>
      </w:r>
    </w:p>
    <w:p w:rsidR="00605199" w:rsidRDefault="00605199" w:rsidP="004D25C7">
      <w:pPr>
        <w:pStyle w:val="Paragraphedeliste"/>
        <w:numPr>
          <w:ilvl w:val="0"/>
          <w:numId w:val="5"/>
        </w:numPr>
        <w:spacing w:after="240"/>
        <w:jc w:val="both"/>
      </w:pPr>
      <w:r w:rsidRPr="00E26CBE">
        <w:rPr>
          <w:b/>
        </w:rPr>
        <w:t>Impact sur le codage PMSI</w:t>
      </w:r>
      <w:r>
        <w:t xml:space="preserve">, souvent réalisé sur la base du CRH qui était plus exhaustif ; </w:t>
      </w:r>
    </w:p>
    <w:p w:rsidR="00605199" w:rsidRDefault="00605199" w:rsidP="004D25C7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</w:pPr>
      <w:r w:rsidRPr="00E26CBE">
        <w:rPr>
          <w:b/>
          <w:color w:val="000000"/>
        </w:rPr>
        <w:t>Evolution de la c</w:t>
      </w:r>
      <w:r w:rsidRPr="00E26CBE">
        <w:rPr>
          <w:b/>
          <w:color w:val="000000"/>
        </w:rPr>
        <w:t>ertification</w:t>
      </w:r>
      <w:r>
        <w:rPr>
          <w:color w:val="000000"/>
        </w:rPr>
        <w:t> : 1</w:t>
      </w:r>
      <w:r>
        <w:rPr>
          <w:color w:val="000000"/>
          <w:vertAlign w:val="superscript"/>
        </w:rPr>
        <w:t>er</w:t>
      </w:r>
      <w:r>
        <w:rPr>
          <w:color w:val="000000"/>
        </w:rPr>
        <w:t xml:space="preserve"> janv</w:t>
      </w:r>
      <w:r w:rsidR="004D25C7">
        <w:rPr>
          <w:color w:val="000000"/>
        </w:rPr>
        <w:t>ier</w:t>
      </w:r>
      <w:r>
        <w:rPr>
          <w:color w:val="000000"/>
        </w:rPr>
        <w:t xml:space="preserve"> 2018 fin de l’indicateur DEC au profit de l’indicateur QLS (qualité de la LDL à la sortie). </w:t>
      </w:r>
      <w:r w:rsidR="00E26CBE">
        <w:rPr>
          <w:color w:val="000000"/>
        </w:rPr>
        <w:t>C</w:t>
      </w:r>
      <w:r>
        <w:rPr>
          <w:color w:val="000000"/>
        </w:rPr>
        <w:t xml:space="preserve">omment sera évaluée la qualité d’une </w:t>
      </w:r>
      <w:r w:rsidR="00E26CBE">
        <w:rPr>
          <w:color w:val="000000"/>
        </w:rPr>
        <w:t>LDL</w:t>
      </w:r>
      <w:r>
        <w:rPr>
          <w:color w:val="000000"/>
        </w:rPr>
        <w:t>?  </w:t>
      </w:r>
    </w:p>
    <w:p w:rsidR="00605199" w:rsidRDefault="00605199" w:rsidP="004D25C7">
      <w:pPr>
        <w:pStyle w:val="Paragraphedeliste"/>
        <w:numPr>
          <w:ilvl w:val="0"/>
          <w:numId w:val="5"/>
        </w:numPr>
        <w:spacing w:after="240"/>
        <w:jc w:val="both"/>
      </w:pPr>
      <w:r w:rsidRPr="005D5099">
        <w:rPr>
          <w:b/>
        </w:rPr>
        <w:t>Financements</w:t>
      </w:r>
      <w:r>
        <w:t xml:space="preserve"> : possibilité pour le MCO d’obtenir des AC sur ce point (quid pour le SSR ?) </w:t>
      </w:r>
    </w:p>
    <w:p w:rsidR="00605199" w:rsidRDefault="00605199" w:rsidP="004D25C7">
      <w:pPr>
        <w:pStyle w:val="Paragraphedeliste"/>
        <w:numPr>
          <w:ilvl w:val="0"/>
          <w:numId w:val="5"/>
        </w:numPr>
        <w:spacing w:after="240"/>
        <w:jc w:val="both"/>
      </w:pPr>
      <w:r w:rsidRPr="005D5099">
        <w:rPr>
          <w:b/>
        </w:rPr>
        <w:t>Application à l’HDJ</w:t>
      </w:r>
      <w:r>
        <w:t> ? La DGOS n’a pas été en mesure de répondre à ce stade.</w:t>
      </w:r>
    </w:p>
    <w:p w:rsidR="00485BD5" w:rsidRDefault="004D25C7" w:rsidP="004D25C7">
      <w:pPr>
        <w:spacing w:after="240"/>
        <w:jc w:val="both"/>
      </w:pPr>
      <w:r>
        <w:t xml:space="preserve">Au vu de l’ensemble des interrogations remontées des Fédérations, </w:t>
      </w:r>
      <w:r w:rsidRPr="005D5099">
        <w:rPr>
          <w:u w:val="single"/>
        </w:rPr>
        <w:t>un groupe de travail vient de se constituer à la DGOS</w:t>
      </w:r>
      <w:r>
        <w:t xml:space="preserve"> ayant vocation à réaliser une foire aux questions, un modèle type de lettre de liaison, ainsi qu’un mode d’emploi pour sa mise en œuvre. </w:t>
      </w:r>
    </w:p>
    <w:sectPr w:rsidR="00485B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5C7" w:rsidRDefault="004D25C7" w:rsidP="004D25C7">
      <w:pPr>
        <w:spacing w:after="0" w:line="240" w:lineRule="auto"/>
      </w:pPr>
      <w:r>
        <w:separator/>
      </w:r>
    </w:p>
  </w:endnote>
  <w:endnote w:type="continuationSeparator" w:id="0">
    <w:p w:rsidR="004D25C7" w:rsidRDefault="004D25C7" w:rsidP="004D2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3259261"/>
      <w:docPartObj>
        <w:docPartGallery w:val="Page Numbers (Bottom of Page)"/>
        <w:docPartUnique/>
      </w:docPartObj>
    </w:sdtPr>
    <w:sdtContent>
      <w:p w:rsidR="004D25C7" w:rsidRDefault="004D25C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099">
          <w:rPr>
            <w:noProof/>
          </w:rPr>
          <w:t>2</w:t>
        </w:r>
        <w:r>
          <w:fldChar w:fldCharType="end"/>
        </w:r>
      </w:p>
    </w:sdtContent>
  </w:sdt>
  <w:p w:rsidR="004D25C7" w:rsidRDefault="004D25C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5C7" w:rsidRDefault="004D25C7" w:rsidP="004D25C7">
      <w:pPr>
        <w:spacing w:after="0" w:line="240" w:lineRule="auto"/>
      </w:pPr>
      <w:r>
        <w:separator/>
      </w:r>
    </w:p>
  </w:footnote>
  <w:footnote w:type="continuationSeparator" w:id="0">
    <w:p w:rsidR="004D25C7" w:rsidRDefault="004D25C7" w:rsidP="004D2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3277F"/>
    <w:multiLevelType w:val="hybridMultilevel"/>
    <w:tmpl w:val="5052AD72"/>
    <w:lvl w:ilvl="0" w:tplc="D5408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35F92"/>
    <w:multiLevelType w:val="hybridMultilevel"/>
    <w:tmpl w:val="5EF097C0"/>
    <w:lvl w:ilvl="0" w:tplc="3258E900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3B34F27"/>
    <w:multiLevelType w:val="hybridMultilevel"/>
    <w:tmpl w:val="5052AD72"/>
    <w:lvl w:ilvl="0" w:tplc="D5408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7557D"/>
    <w:multiLevelType w:val="hybridMultilevel"/>
    <w:tmpl w:val="DD70AE80"/>
    <w:lvl w:ilvl="0" w:tplc="D36442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A1528"/>
    <w:multiLevelType w:val="hybridMultilevel"/>
    <w:tmpl w:val="A9A80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518D5"/>
    <w:multiLevelType w:val="hybridMultilevel"/>
    <w:tmpl w:val="B68CC8A2"/>
    <w:lvl w:ilvl="0" w:tplc="DB223E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D5"/>
    <w:rsid w:val="00057B90"/>
    <w:rsid w:val="0028769A"/>
    <w:rsid w:val="00485BD5"/>
    <w:rsid w:val="004D25C7"/>
    <w:rsid w:val="0055140A"/>
    <w:rsid w:val="005D5099"/>
    <w:rsid w:val="00605199"/>
    <w:rsid w:val="00A47FCE"/>
    <w:rsid w:val="00BA44A9"/>
    <w:rsid w:val="00DC436B"/>
    <w:rsid w:val="00E2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43CEC-8559-467A-A891-78578922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5BD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D2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25C7"/>
  </w:style>
  <w:style w:type="paragraph" w:styleId="Pieddepage">
    <w:name w:val="footer"/>
    <w:basedOn w:val="Normal"/>
    <w:link w:val="PieddepageCar"/>
    <w:uiPriority w:val="99"/>
    <w:unhideWhenUsed/>
    <w:rsid w:val="004D2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2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6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897</Words>
  <Characters>4939</Characters>
  <Application>Microsoft Office Word</Application>
  <DocSecurity>0</DocSecurity>
  <Lines>41</Lines>
  <Paragraphs>11</Paragraphs>
  <ScaleCrop>false</ScaleCrop>
  <Company/>
  <LinksUpToDate>false</LinksUpToDate>
  <CharactersWithSpaces>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FHP-SSR</dc:creator>
  <cp:keywords/>
  <dc:description/>
  <cp:lastModifiedBy>FHP-SSR</cp:lastModifiedBy>
  <cp:revision>10</cp:revision>
  <dcterms:created xsi:type="dcterms:W3CDTF">2017-04-03T11:52:00Z</dcterms:created>
  <dcterms:modified xsi:type="dcterms:W3CDTF">2017-04-03T12:32:00Z</dcterms:modified>
</cp:coreProperties>
</file>