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E3A8C" w:rsidTr="001E3A8C">
        <w:trPr>
          <w:tblCellSpacing w:w="0" w:type="dxa"/>
          <w:jc w:val="center"/>
        </w:trPr>
        <w:tc>
          <w:tcPr>
            <w:tcW w:w="0" w:type="auto"/>
            <w:shd w:val="clear" w:color="auto" w:fill="FFFFFF"/>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E3A8C">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tcMar>
                                <w:top w:w="450" w:type="dxa"/>
                                <w:left w:w="450" w:type="dxa"/>
                                <w:bottom w:w="450" w:type="dxa"/>
                                <w:right w:w="450" w:type="dxa"/>
                              </w:tcMar>
                            </w:tcPr>
                            <w:p w:rsidR="001E3A8C" w:rsidRDefault="001E3A8C">
                              <w:pPr>
                                <w:pStyle w:val="NormalWeb"/>
                                <w:jc w:val="center"/>
                                <w:rPr>
                                  <w:rFonts w:ascii="Arial" w:hAnsi="Arial" w:cs="Arial"/>
                                  <w:color w:val="15406C"/>
                                  <w:sz w:val="18"/>
                                  <w:szCs w:val="18"/>
                                </w:rPr>
                              </w:pPr>
                              <w:r>
                                <w:rPr>
                                  <w:rFonts w:ascii="Arial" w:hAnsi="Arial" w:cs="Arial"/>
                                  <w:color w:val="999999"/>
                                  <w:sz w:val="17"/>
                                  <w:szCs w:val="17"/>
                                </w:rPr>
                                <w:t xml:space="preserve">Flash Info FHP </w:t>
                              </w:r>
                            </w:p>
                            <w:p w:rsidR="001E3A8C" w:rsidRPr="001E3A8C" w:rsidRDefault="001E3A8C" w:rsidP="001E3A8C">
                              <w:pPr>
                                <w:pStyle w:val="NormalWeb"/>
                                <w:jc w:val="center"/>
                                <w:rPr>
                                  <w:color w:val="3E21FF"/>
                                  <w:u w:val="single"/>
                                </w:rPr>
                              </w:pPr>
                              <w:hyperlink r:id="rId5" w:history="1">
                                <w:r>
                                  <w:rPr>
                                    <w:rStyle w:val="Lienhypertexte"/>
                                    <w:rFonts w:ascii="Arial" w:hAnsi="Arial" w:cs="Arial"/>
                                    <w:color w:val="999999"/>
                                    <w:sz w:val="17"/>
                                    <w:szCs w:val="17"/>
                                  </w:rPr>
                                  <w:t>Lire l'email dans votre navigateur.</w:t>
                                </w:r>
                                <w:r>
                                  <w:rPr>
                                    <w:rStyle w:val="Lienhypertexte"/>
                                    <w:rFonts w:ascii="Arial" w:hAnsi="Arial" w:cs="Arial"/>
                                    <w:color w:val="3E21FF"/>
                                    <w:sz w:val="18"/>
                                    <w:szCs w:val="18"/>
                                  </w:rPr>
                                  <w:t xml:space="preserve"> </w:t>
                                </w:r>
                              </w:hyperlink>
                            </w:p>
                          </w:tc>
                        </w:tr>
                      </w:tbl>
                      <w:p w:rsidR="001E3A8C" w:rsidRDefault="001E3A8C">
                        <w:pPr>
                          <w:rPr>
                            <w:rFonts w:eastAsia="Times New Roman"/>
                            <w:sz w:val="20"/>
                            <w:szCs w:val="20"/>
                          </w:rPr>
                        </w:pPr>
                      </w:p>
                    </w:tc>
                  </w:tr>
                </w:tbl>
                <w:p w:rsidR="001E3A8C" w:rsidRDefault="001E3A8C">
                  <w:pPr>
                    <w:rPr>
                      <w:rFonts w:eastAsia="Times New Roman"/>
                      <w:sz w:val="20"/>
                      <w:szCs w:val="20"/>
                    </w:rPr>
                  </w:pPr>
                </w:p>
              </w:tc>
            </w:tr>
            <w:tr w:rsidR="001E3A8C">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9750"/>
                  </w:tblGrid>
                  <w:tr w:rsidR="001E3A8C">
                    <w:trPr>
                      <w:tblCellSpacing w:w="0" w:type="dxa"/>
                      <w:jc w:val="center"/>
                    </w:trPr>
                    <w:tc>
                      <w:tcPr>
                        <w:tcW w:w="0" w:type="auto"/>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E3A8C">
                          <w:trPr>
                            <w:tblCellSpacing w:w="0" w:type="dxa"/>
                            <w:jc w:val="center"/>
                          </w:trPr>
                          <w:tc>
                            <w:tcPr>
                              <w:tcW w:w="0" w:type="auto"/>
                              <w:hideMark/>
                            </w:tcPr>
                            <w:p w:rsidR="001E3A8C" w:rsidRDefault="001E3A8C">
                              <w:pPr>
                                <w:jc w:val="center"/>
                                <w:rPr>
                                  <w:rFonts w:eastAsia="Times New Roman"/>
                                </w:rPr>
                              </w:pPr>
                              <w:r>
                                <w:rPr>
                                  <w:rFonts w:eastAsia="Times New Roman"/>
                                  <w:noProof/>
                                </w:rPr>
                                <w:drawing>
                                  <wp:inline distT="0" distB="0" distL="0" distR="0">
                                    <wp:extent cx="6191250" cy="1838325"/>
                                    <wp:effectExtent l="0" t="0" r="0" b="9525"/>
                                    <wp:docPr id="5" name="Image 5" descr="http://img.news.fhp.fr/66842/8teo8Iha006nwOPOeh7Zcw/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uEDvHCBDtJtEwBHsAHrAFCsDBJJCuvA" descr="http://img.news.fhp.fr/66842/8teo8Iha006nwOPOeh7Zcw/image_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838325"/>
                                            </a:xfrm>
                                            <a:prstGeom prst="rect">
                                              <a:avLst/>
                                            </a:prstGeom>
                                            <a:noFill/>
                                            <a:ln>
                                              <a:noFill/>
                                            </a:ln>
                                          </pic:spPr>
                                        </pic:pic>
                                      </a:graphicData>
                                    </a:graphic>
                                  </wp:inline>
                                </w:drawing>
                              </w:r>
                            </w:p>
                          </w:tc>
                        </w:tr>
                      </w:tbl>
                      <w:p w:rsidR="001E3A8C" w:rsidRDefault="001E3A8C">
                        <w:pPr>
                          <w:jc w:val="center"/>
                          <w:rPr>
                            <w:rFonts w:eastAsia="Times New Roman"/>
                            <w:sz w:val="20"/>
                            <w:szCs w:val="20"/>
                          </w:rPr>
                        </w:pPr>
                      </w:p>
                    </w:tc>
                  </w:tr>
                </w:tbl>
                <w:p w:rsidR="001E3A8C" w:rsidRDefault="001E3A8C">
                  <w:pPr>
                    <w:jc w:val="center"/>
                    <w:rPr>
                      <w:rFonts w:eastAsia="Times New Roman"/>
                      <w:sz w:val="20"/>
                      <w:szCs w:val="20"/>
                    </w:rPr>
                  </w:pPr>
                </w:p>
              </w:tc>
            </w:tr>
          </w:tbl>
          <w:p w:rsidR="001E3A8C" w:rsidRDefault="001E3A8C">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E3A8C">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hideMark/>
                            </w:tcPr>
                            <w:p w:rsidR="001E3A8C" w:rsidRDefault="001E3A8C">
                              <w:pPr>
                                <w:rPr>
                                  <w:rFonts w:ascii="Arial" w:eastAsia="Times New Roman" w:hAnsi="Arial" w:cs="Arial"/>
                                  <w:color w:val="15406C"/>
                                  <w:sz w:val="18"/>
                                  <w:szCs w:val="18"/>
                                </w:rPr>
                              </w:pPr>
                              <w:r>
                                <w:rPr>
                                  <w:rStyle w:val="lev"/>
                                  <w:rFonts w:ascii="Arial" w:eastAsia="Times New Roman" w:hAnsi="Arial" w:cs="Arial"/>
                                  <w:color w:val="15406C"/>
                                  <w:sz w:val="18"/>
                                  <w:szCs w:val="18"/>
                                </w:rPr>
                                <w:t>Mercredi 24 octobre 2018</w:t>
                              </w:r>
                              <w:r>
                                <w:rPr>
                                  <w:rFonts w:ascii="Arial" w:eastAsia="Times New Roman" w:hAnsi="Arial" w:cs="Arial"/>
                                  <w:color w:val="15406C"/>
                                  <w:sz w:val="18"/>
                                  <w:szCs w:val="18"/>
                                </w:rPr>
                                <w:br/>
                                <w:t>Réf : 203-2018</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00AFED"/>
                                  <w:sz w:val="21"/>
                                  <w:szCs w:val="21"/>
                                </w:rPr>
                                <w:t>Systèmes d'Information</w:t>
                              </w:r>
                            </w:p>
                          </w:tc>
                        </w:tr>
                      </w:tbl>
                      <w:p w:rsidR="001E3A8C" w:rsidRDefault="001E3A8C">
                        <w:pPr>
                          <w:rPr>
                            <w:rFonts w:eastAsia="Times New Roman"/>
                            <w:sz w:val="20"/>
                            <w:szCs w:val="20"/>
                          </w:rPr>
                        </w:pPr>
                      </w:p>
                    </w:tc>
                  </w:tr>
                </w:tbl>
                <w:p w:rsidR="001E3A8C" w:rsidRDefault="001E3A8C">
                  <w:pPr>
                    <w:rPr>
                      <w:rFonts w:eastAsia="Times New Roman"/>
                      <w:sz w:val="20"/>
                      <w:szCs w:val="20"/>
                    </w:rPr>
                  </w:pPr>
                </w:p>
              </w:tc>
            </w:tr>
            <w:tr w:rsidR="001E3A8C">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tcMar>
                                <w:top w:w="450" w:type="dxa"/>
                                <w:left w:w="450" w:type="dxa"/>
                                <w:bottom w:w="450" w:type="dxa"/>
                                <w:right w:w="450" w:type="dxa"/>
                              </w:tcMar>
                              <w:hideMark/>
                            </w:tcPr>
                            <w:p w:rsidR="001E3A8C" w:rsidRDefault="001E3A8C">
                              <w:pPr>
                                <w:pStyle w:val="NormalWeb"/>
                                <w:jc w:val="center"/>
                                <w:rPr>
                                  <w:rFonts w:ascii="Arial" w:hAnsi="Arial" w:cs="Arial"/>
                                  <w:color w:val="15406C"/>
                                  <w:sz w:val="18"/>
                                  <w:szCs w:val="18"/>
                                </w:rPr>
                              </w:pPr>
                              <w:r>
                                <w:rPr>
                                  <w:rStyle w:val="lev"/>
                                  <w:rFonts w:ascii="Arial" w:hAnsi="Arial" w:cs="Arial"/>
                                  <w:color w:val="FF0000"/>
                                  <w:sz w:val="39"/>
                                  <w:szCs w:val="39"/>
                                </w:rPr>
                                <w:t>RAPPEL</w:t>
                              </w:r>
                              <w:r>
                                <w:rPr>
                                  <w:rStyle w:val="lev"/>
                                  <w:rFonts w:ascii="Arial" w:hAnsi="Arial" w:cs="Arial"/>
                                  <w:color w:val="15406C"/>
                                  <w:sz w:val="39"/>
                                  <w:szCs w:val="39"/>
                                </w:rPr>
                                <w:t xml:space="preserve"> </w:t>
                              </w:r>
                            </w:p>
                            <w:p w:rsidR="001E3A8C" w:rsidRDefault="001E3A8C">
                              <w:pPr>
                                <w:pStyle w:val="NormalWeb"/>
                                <w:jc w:val="center"/>
                                <w:rPr>
                                  <w:rFonts w:ascii="Arial" w:hAnsi="Arial" w:cs="Arial"/>
                                  <w:color w:val="15406C"/>
                                  <w:sz w:val="18"/>
                                  <w:szCs w:val="18"/>
                                </w:rPr>
                              </w:pPr>
                              <w:r>
                                <w:rPr>
                                  <w:rStyle w:val="lev"/>
                                  <w:rFonts w:ascii="Arial" w:hAnsi="Arial" w:cs="Arial"/>
                                  <w:color w:val="15406C"/>
                                  <w:sz w:val="39"/>
                                  <w:szCs w:val="39"/>
                                </w:rPr>
                                <w:t>JOURNEE THEMATIQUE SIH</w:t>
                              </w:r>
                            </w:p>
                            <w:p w:rsidR="001E3A8C" w:rsidRDefault="001E3A8C">
                              <w:pPr>
                                <w:pStyle w:val="NormalWeb"/>
                                <w:jc w:val="center"/>
                                <w:rPr>
                                  <w:rFonts w:ascii="Arial" w:hAnsi="Arial" w:cs="Arial"/>
                                  <w:color w:val="15406C"/>
                                  <w:sz w:val="18"/>
                                  <w:szCs w:val="18"/>
                                </w:rPr>
                              </w:pPr>
                              <w:r>
                                <w:rPr>
                                  <w:rStyle w:val="lev"/>
                                  <w:rFonts w:ascii="Arial" w:hAnsi="Arial" w:cs="Arial"/>
                                  <w:color w:val="FF6600"/>
                                  <w:sz w:val="36"/>
                                  <w:szCs w:val="36"/>
                                </w:rPr>
                                <w:t>Mercredi 21 novembre 2018</w:t>
                              </w:r>
                            </w:p>
                          </w:tc>
                        </w:tr>
                      </w:tbl>
                      <w:p w:rsidR="001E3A8C" w:rsidRDefault="001E3A8C">
                        <w:pPr>
                          <w:rPr>
                            <w:rFonts w:eastAsia="Times New Roman"/>
                            <w:sz w:val="20"/>
                            <w:szCs w:val="20"/>
                          </w:rPr>
                        </w:pPr>
                      </w:p>
                    </w:tc>
                  </w:tr>
                </w:tbl>
                <w:p w:rsidR="001E3A8C" w:rsidRDefault="001E3A8C">
                  <w:pPr>
                    <w:rPr>
                      <w:rFonts w:eastAsia="Times New Roman"/>
                      <w:sz w:val="20"/>
                      <w:szCs w:val="20"/>
                    </w:rPr>
                  </w:pPr>
                </w:p>
              </w:tc>
            </w:tr>
          </w:tbl>
          <w:p w:rsidR="001E3A8C" w:rsidRDefault="001E3A8C">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E3A8C">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hideMark/>
                            </w:tcPr>
                            <w:p w:rsidR="001E3A8C" w:rsidRDefault="001E3A8C">
                              <w:pPr>
                                <w:pStyle w:val="NormalWeb"/>
                                <w:jc w:val="center"/>
                                <w:rPr>
                                  <w:rFonts w:ascii="Arial" w:hAnsi="Arial" w:cs="Arial"/>
                                  <w:color w:val="15406C"/>
                                  <w:sz w:val="18"/>
                                  <w:szCs w:val="18"/>
                                </w:rPr>
                              </w:pPr>
                              <w:r>
                                <w:rPr>
                                  <w:rFonts w:ascii="Arial" w:hAnsi="Arial" w:cs="Arial"/>
                                  <w:b/>
                                  <w:bCs/>
                                  <w:noProof/>
                                  <w:color w:val="15406C"/>
                                  <w:sz w:val="27"/>
                                  <w:szCs w:val="27"/>
                                </w:rPr>
                                <w:drawing>
                                  <wp:inline distT="0" distB="0" distL="0" distR="0">
                                    <wp:extent cx="2981325" cy="1943100"/>
                                    <wp:effectExtent l="0" t="0" r="9525" b="0"/>
                                    <wp:docPr id="4" name="Image 4" descr="JT SIH 21.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wsvrswDAsrEFuvIvtIBusuEHDJCHsF" descr="JT SIH 21.1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1943100"/>
                                            </a:xfrm>
                                            <a:prstGeom prst="rect">
                                              <a:avLst/>
                                            </a:prstGeom>
                                            <a:noFill/>
                                            <a:ln>
                                              <a:noFill/>
                                            </a:ln>
                                          </pic:spPr>
                                        </pic:pic>
                                      </a:graphicData>
                                    </a:graphic>
                                  </wp:inline>
                                </w:drawing>
                              </w:r>
                            </w:p>
                          </w:tc>
                        </w:tr>
                        <w:tr w:rsidR="001E3A8C">
                          <w:trPr>
                            <w:tblCellSpacing w:w="0" w:type="dxa"/>
                          </w:trPr>
                          <w:tc>
                            <w:tcPr>
                              <w:tcW w:w="0" w:type="auto"/>
                            </w:tcPr>
                            <w:p w:rsidR="001E3A8C" w:rsidRDefault="001E3A8C">
                              <w:pPr>
                                <w:pStyle w:val="NormalWeb"/>
                                <w:jc w:val="center"/>
                                <w:rPr>
                                  <w:rFonts w:ascii="Arial" w:hAnsi="Arial" w:cs="Arial"/>
                                  <w:b/>
                                  <w:bCs/>
                                  <w:noProof/>
                                  <w:color w:val="15406C"/>
                                  <w:sz w:val="27"/>
                                  <w:szCs w:val="27"/>
                                </w:rPr>
                              </w:pPr>
                              <w:bookmarkStart w:id="0" w:name="_GoBack"/>
                              <w:bookmarkEnd w:id="0"/>
                            </w:p>
                          </w:tc>
                        </w:tr>
                      </w:tbl>
                      <w:p w:rsidR="001E3A8C" w:rsidRDefault="001E3A8C">
                        <w:pPr>
                          <w:rPr>
                            <w:rFonts w:eastAsia="Times New Roman"/>
                            <w:sz w:val="20"/>
                            <w:szCs w:val="20"/>
                          </w:rPr>
                        </w:pPr>
                      </w:p>
                    </w:tc>
                  </w:tr>
                </w:tbl>
                <w:p w:rsidR="001E3A8C" w:rsidRDefault="001E3A8C">
                  <w:pPr>
                    <w:rPr>
                      <w:rFonts w:eastAsia="Times New Roman"/>
                      <w:sz w:val="20"/>
                      <w:szCs w:val="20"/>
                    </w:rPr>
                  </w:pPr>
                </w:p>
              </w:tc>
            </w:tr>
            <w:tr w:rsidR="001E3A8C">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1E3A8C" w:rsidTr="001E3A8C">
                          <w:trPr>
                            <w:trHeight w:val="20"/>
                            <w:tblCellSpacing w:w="0" w:type="dxa"/>
                          </w:trPr>
                          <w:tc>
                            <w:tcPr>
                              <w:tcW w:w="0" w:type="auto"/>
                              <w:tcMar>
                                <w:top w:w="120" w:type="dxa"/>
                                <w:left w:w="120" w:type="dxa"/>
                                <w:bottom w:w="120" w:type="dxa"/>
                                <w:right w:w="120" w:type="dxa"/>
                              </w:tcMar>
                              <w:hideMark/>
                            </w:tcPr>
                            <w:p w:rsidR="001E3A8C" w:rsidRDefault="001E3A8C">
                              <w:pPr>
                                <w:rPr>
                                  <w:rFonts w:ascii="Arial" w:eastAsia="Times New Roman" w:hAnsi="Arial" w:cs="Arial"/>
                                  <w:color w:val="15406C"/>
                                  <w:sz w:val="18"/>
                                  <w:szCs w:val="18"/>
                                </w:rPr>
                              </w:pPr>
                              <w:r>
                                <w:rPr>
                                  <w:rFonts w:ascii="Arial" w:eastAsia="Times New Roman" w:hAnsi="Arial" w:cs="Arial"/>
                                  <w:color w:val="15406C"/>
                                  <w:sz w:val="18"/>
                                  <w:szCs w:val="18"/>
                                </w:rPr>
                                <w:t> </w:t>
                              </w:r>
                            </w:p>
                          </w:tc>
                        </w:tr>
                      </w:tbl>
                      <w:tbl>
                        <w:tblPr>
                          <w:tblpPr w:vertAnchor="text" w:horzAnchor="margin" w:tblpY="-669"/>
                          <w:tblOverlap w:val="never"/>
                          <w:tblW w:w="9750" w:type="dxa"/>
                          <w:tblCellSpacing w:w="0" w:type="dxa"/>
                          <w:tblCellMar>
                            <w:left w:w="0" w:type="dxa"/>
                            <w:right w:w="0" w:type="dxa"/>
                          </w:tblCellMar>
                          <w:tblLook w:val="04A0" w:firstRow="1" w:lastRow="0" w:firstColumn="1" w:lastColumn="0" w:noHBand="0" w:noVBand="1"/>
                        </w:tblPr>
                        <w:tblGrid>
                          <w:gridCol w:w="9750"/>
                        </w:tblGrid>
                        <w:tr w:rsidR="001E3A8C" w:rsidTr="001E3A8C">
                          <w:trPr>
                            <w:tblCellSpacing w:w="0" w:type="dxa"/>
                          </w:trPr>
                          <w:tc>
                            <w:tcPr>
                              <w:tcW w:w="0" w:type="auto"/>
                              <w:hideMark/>
                            </w:tcPr>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xml:space="preserve">Chère Adhérente, Cher Adhérent, </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xml:space="preserve">Dans la poursuite des journées d'information organisées à votre attention et dans le but de vous apporter une aide dans la gestion de votre établissement, la FHP organise le </w:t>
                              </w:r>
                              <w:r>
                                <w:rPr>
                                  <w:rStyle w:val="lev"/>
                                  <w:rFonts w:ascii="Arial" w:hAnsi="Arial" w:cs="Arial"/>
                                  <w:color w:val="FF6600"/>
                                  <w:sz w:val="21"/>
                                  <w:szCs w:val="21"/>
                                </w:rPr>
                                <w:t>mercredi 21 novembre sa journée thématique annuelle consacrée aux systèmes d’informations hospitaliers (SIH).</w:t>
                              </w:r>
                              <w:r>
                                <w:rPr>
                                  <w:rFonts w:ascii="Arial" w:hAnsi="Arial" w:cs="Arial"/>
                                  <w:color w:val="15406C"/>
                                  <w:sz w:val="21"/>
                                  <w:szCs w:val="21"/>
                                </w:rPr>
                                <w:t xml:space="preserve"> </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xml:space="preserve">Voici les sujets du moment qui seront analysés : </w:t>
                              </w:r>
                            </w:p>
                            <w:p w:rsidR="001E3A8C" w:rsidRDefault="001E3A8C" w:rsidP="001E3A8C">
                              <w:pPr>
                                <w:numPr>
                                  <w:ilvl w:val="0"/>
                                  <w:numId w:val="1"/>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Présentation officielle de la suite à Hôpital Numérique : </w:t>
                              </w:r>
                              <w:r>
                                <w:rPr>
                                  <w:rStyle w:val="lev"/>
                                  <w:rFonts w:ascii="Arial" w:eastAsia="Times New Roman" w:hAnsi="Arial" w:cs="Arial"/>
                                  <w:color w:val="15406C"/>
                                  <w:sz w:val="21"/>
                                  <w:szCs w:val="21"/>
                                </w:rPr>
                                <w:t>programme HOP’EN</w:t>
                              </w:r>
                              <w:r>
                                <w:rPr>
                                  <w:rFonts w:ascii="Arial" w:eastAsia="Times New Roman" w:hAnsi="Arial" w:cs="Arial"/>
                                  <w:color w:val="15406C"/>
                                  <w:sz w:val="21"/>
                                  <w:szCs w:val="21"/>
                                </w:rPr>
                                <w:t xml:space="preserve"> ;</w:t>
                              </w:r>
                            </w:p>
                            <w:p w:rsidR="001E3A8C" w:rsidRDefault="001E3A8C" w:rsidP="001E3A8C">
                              <w:pPr>
                                <w:numPr>
                                  <w:ilvl w:val="0"/>
                                  <w:numId w:val="1"/>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Application de la </w:t>
                              </w:r>
                              <w:r>
                                <w:rPr>
                                  <w:rStyle w:val="lev"/>
                                  <w:rFonts w:ascii="Arial" w:eastAsia="Times New Roman" w:hAnsi="Arial" w:cs="Arial"/>
                                  <w:color w:val="15406C"/>
                                  <w:sz w:val="21"/>
                                  <w:szCs w:val="21"/>
                                </w:rPr>
                                <w:t>sérialisation</w:t>
                              </w:r>
                              <w:r>
                                <w:rPr>
                                  <w:rFonts w:ascii="Arial" w:eastAsia="Times New Roman" w:hAnsi="Arial" w:cs="Arial"/>
                                  <w:color w:val="15406C"/>
                                  <w:sz w:val="21"/>
                                  <w:szCs w:val="21"/>
                                </w:rPr>
                                <w:t xml:space="preserve"> des médicaments dans les établissements de santé : réalisation et difficultés ;</w:t>
                              </w:r>
                            </w:p>
                            <w:p w:rsidR="001E3A8C" w:rsidRDefault="001E3A8C" w:rsidP="001E3A8C">
                              <w:pPr>
                                <w:numPr>
                                  <w:ilvl w:val="0"/>
                                  <w:numId w:val="1"/>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Volet numérique de la </w:t>
                              </w:r>
                              <w:r>
                                <w:rPr>
                                  <w:rStyle w:val="lev"/>
                                  <w:rFonts w:ascii="Arial" w:eastAsia="Times New Roman" w:hAnsi="Arial" w:cs="Arial"/>
                                  <w:color w:val="15406C"/>
                                  <w:sz w:val="21"/>
                                  <w:szCs w:val="21"/>
                                </w:rPr>
                                <w:t>stratégie de transformation du système de santé</w:t>
                              </w:r>
                              <w:r>
                                <w:rPr>
                                  <w:rFonts w:ascii="Arial" w:eastAsia="Times New Roman" w:hAnsi="Arial" w:cs="Arial"/>
                                  <w:color w:val="15406C"/>
                                  <w:sz w:val="21"/>
                                  <w:szCs w:val="21"/>
                                </w:rPr>
                                <w:t xml:space="preserve"> ;</w:t>
                              </w:r>
                            </w:p>
                            <w:p w:rsidR="001E3A8C" w:rsidRDefault="001E3A8C" w:rsidP="001E3A8C">
                              <w:pPr>
                                <w:numPr>
                                  <w:ilvl w:val="0"/>
                                  <w:numId w:val="1"/>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La </w:t>
                              </w:r>
                              <w:proofErr w:type="spellStart"/>
                              <w:r>
                                <w:rPr>
                                  <w:rStyle w:val="lev"/>
                                  <w:rFonts w:ascii="Arial" w:eastAsia="Times New Roman" w:hAnsi="Arial" w:cs="Arial"/>
                                  <w:color w:val="15406C"/>
                                  <w:sz w:val="21"/>
                                  <w:szCs w:val="21"/>
                                </w:rPr>
                                <w:t>cybersécurité</w:t>
                              </w:r>
                              <w:proofErr w:type="spellEnd"/>
                              <w:r>
                                <w:rPr>
                                  <w:rFonts w:ascii="Arial" w:eastAsia="Times New Roman" w:hAnsi="Arial" w:cs="Arial"/>
                                  <w:color w:val="15406C"/>
                                  <w:sz w:val="21"/>
                                  <w:szCs w:val="21"/>
                                </w:rPr>
                                <w:t xml:space="preserve"> comme élément incontournable d’une politique SI réussie. </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xml:space="preserve">Le programme Hôpital Numérique est clôturé et sa suite devrait être effective dès la fin de cette année. </w:t>
                              </w:r>
                              <w:r>
                                <w:rPr>
                                  <w:rStyle w:val="lev"/>
                                  <w:rFonts w:ascii="Arial" w:hAnsi="Arial" w:cs="Arial"/>
                                  <w:color w:val="15406C"/>
                                  <w:sz w:val="21"/>
                                  <w:szCs w:val="21"/>
                                </w:rPr>
                                <w:t>Baptisée HOP’EN, elle disposera d’une enveloppe de 420 millions d’euros répartis entre fin 2018 et 2022</w:t>
                              </w:r>
                              <w:r>
                                <w:rPr>
                                  <w:rFonts w:ascii="Arial" w:hAnsi="Arial" w:cs="Arial"/>
                                  <w:color w:val="15406C"/>
                                  <w:sz w:val="21"/>
                                  <w:szCs w:val="21"/>
                                </w:rPr>
                                <w:t>. La direction générale de l’offre de soins (DGOS) et l’agence nationale d'appui à la performance des établissements de santé et médicaux sociaux (ANAP) seront présentes afin de vous présenter les évolutions. Une attention particulière sera portée aux clés de succès pour un dossier bien réussi.</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w:t>
                              </w:r>
                            </w:p>
                            <w:p w:rsidR="001E3A8C" w:rsidRDefault="001E3A8C" w:rsidP="001E3A8C">
                              <w:pPr>
                                <w:pStyle w:val="NormalWeb"/>
                                <w:jc w:val="both"/>
                                <w:rPr>
                                  <w:rFonts w:ascii="Arial" w:hAnsi="Arial" w:cs="Arial"/>
                                  <w:color w:val="15406C"/>
                                  <w:sz w:val="18"/>
                                  <w:szCs w:val="18"/>
                                </w:rPr>
                              </w:pPr>
                              <w:r>
                                <w:rPr>
                                  <w:rStyle w:val="lev"/>
                                  <w:rFonts w:ascii="Arial" w:hAnsi="Arial" w:cs="Arial"/>
                                  <w:color w:val="15406C"/>
                                  <w:sz w:val="21"/>
                                  <w:szCs w:val="21"/>
                                </w:rPr>
                                <w:t>La sérialisation des médicaments</w:t>
                              </w:r>
                              <w:r>
                                <w:rPr>
                                  <w:rFonts w:ascii="Arial" w:hAnsi="Arial" w:cs="Arial"/>
                                  <w:color w:val="15406C"/>
                                  <w:sz w:val="21"/>
                                  <w:szCs w:val="21"/>
                                </w:rPr>
                                <w:t xml:space="preserve"> doit s’appliquer au sein de l’Union Européenne et donc en France au 9 février 2019. De nombreuses interrogations, réelles, subsistent sur son application, que ce soit d’un point de vue financier, humain ou informatique. La DGOS et la DGS viendront exposer le dispositif et répondre à toutes vos interrogations pratiques en ce qui concerne la mise en conformité au sein de vos établissements.</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xml:space="preserve">La stratégie de transformation du système de santé a été officiellement présentée par le Président de la République le 18 septembre. Un des principaux chantiers était celui qui visait à « accélérer le virage numérique ». </w:t>
                              </w:r>
                              <w:r>
                                <w:rPr>
                                  <w:rStyle w:val="lev"/>
                                  <w:rFonts w:ascii="Arial" w:hAnsi="Arial" w:cs="Arial"/>
                                  <w:color w:val="15406C"/>
                                  <w:sz w:val="21"/>
                                  <w:szCs w:val="21"/>
                                </w:rPr>
                                <w:t xml:space="preserve">Les co-pilotes désignés par Madame la ministre, Monsieur Dominique PON et Madame </w:t>
                              </w:r>
                              <w:proofErr w:type="spellStart"/>
                              <w:r>
                                <w:rPr>
                                  <w:rStyle w:val="lev"/>
                                  <w:rFonts w:ascii="Arial" w:hAnsi="Arial" w:cs="Arial"/>
                                  <w:color w:val="15406C"/>
                                  <w:sz w:val="21"/>
                                  <w:szCs w:val="21"/>
                                </w:rPr>
                                <w:t>Annelore</w:t>
                              </w:r>
                              <w:proofErr w:type="spellEnd"/>
                              <w:r>
                                <w:rPr>
                                  <w:rStyle w:val="lev"/>
                                  <w:rFonts w:ascii="Arial" w:hAnsi="Arial" w:cs="Arial"/>
                                  <w:color w:val="15406C"/>
                                  <w:sz w:val="21"/>
                                  <w:szCs w:val="21"/>
                                </w:rPr>
                                <w:t xml:space="preserve"> COURY, dévoileront en détail le contenu de leur contribution</w:t>
                              </w:r>
                              <w:r>
                                <w:rPr>
                                  <w:rFonts w:ascii="Arial" w:hAnsi="Arial" w:cs="Arial"/>
                                  <w:color w:val="15406C"/>
                                  <w:sz w:val="21"/>
                                  <w:szCs w:val="21"/>
                                </w:rPr>
                                <w:t>.</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xml:space="preserve">La </w:t>
                              </w:r>
                              <w:proofErr w:type="spellStart"/>
                              <w:r>
                                <w:rPr>
                                  <w:rStyle w:val="lev"/>
                                  <w:rFonts w:ascii="Arial" w:hAnsi="Arial" w:cs="Arial"/>
                                  <w:color w:val="15406C"/>
                                  <w:sz w:val="21"/>
                                  <w:szCs w:val="21"/>
                                </w:rPr>
                                <w:t>cybersécurité</w:t>
                              </w:r>
                              <w:proofErr w:type="spellEnd"/>
                              <w:r>
                                <w:rPr>
                                  <w:rFonts w:ascii="Arial" w:hAnsi="Arial" w:cs="Arial"/>
                                  <w:color w:val="15406C"/>
                                  <w:sz w:val="21"/>
                                  <w:szCs w:val="21"/>
                                </w:rPr>
                                <w:t xml:space="preserve"> est aujourd’hui incontournable et les risques d’éventuelles failles représentent des menaces importantes. Mais en devenant un investissement pour l’avenir, son retour sur investissement devient de plus en plus visible. </w:t>
                              </w:r>
                              <w:r>
                                <w:rPr>
                                  <w:rStyle w:val="lev"/>
                                  <w:rFonts w:ascii="Arial" w:hAnsi="Arial" w:cs="Arial"/>
                                  <w:color w:val="15406C"/>
                                  <w:sz w:val="21"/>
                                  <w:szCs w:val="21"/>
                                </w:rPr>
                                <w:t>Le directeur général de l’Agence nationale de la sécurité des systèmes d'information (ANSSI), entité directement rattachée au Premier ministre</w:t>
                              </w:r>
                              <w:r>
                                <w:rPr>
                                  <w:rFonts w:ascii="Arial" w:hAnsi="Arial" w:cs="Arial"/>
                                  <w:color w:val="15406C"/>
                                  <w:sz w:val="21"/>
                                  <w:szCs w:val="21"/>
                                </w:rPr>
                                <w:t xml:space="preserve">, vous donnera ses conseils afin que vous soyez préparé à toutes les transformations en cours. </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 xml:space="preserve">Vous pouvez dès à présent consulter le </w:t>
                              </w:r>
                              <w:hyperlink r:id="rId8" w:history="1">
                                <w:r>
                                  <w:rPr>
                                    <w:rStyle w:val="Lienhypertexte"/>
                                    <w:rFonts w:ascii="Arial" w:hAnsi="Arial" w:cs="Arial"/>
                                    <w:color w:val="3E21FF"/>
                                    <w:sz w:val="21"/>
                                    <w:szCs w:val="21"/>
                                  </w:rPr>
                                  <w:t xml:space="preserve">programme </w:t>
                                </w:r>
                              </w:hyperlink>
                              <w:r>
                                <w:rPr>
                                  <w:rFonts w:ascii="Arial" w:hAnsi="Arial" w:cs="Arial"/>
                                  <w:color w:val="15406C"/>
                                  <w:sz w:val="21"/>
                                  <w:szCs w:val="21"/>
                                </w:rPr>
                                <w:t xml:space="preserve">de cette journée et vous y inscrire. </w:t>
                              </w:r>
                            </w:p>
                            <w:p w:rsidR="001E3A8C" w:rsidRDefault="001E3A8C" w:rsidP="001E3A8C">
                              <w:pPr>
                                <w:pStyle w:val="NormalWeb"/>
                                <w:jc w:val="center"/>
                                <w:rPr>
                                  <w:rFonts w:ascii="Arial" w:hAnsi="Arial" w:cs="Arial"/>
                                  <w:color w:val="15406C"/>
                                  <w:sz w:val="18"/>
                                  <w:szCs w:val="18"/>
                                </w:rPr>
                              </w:pPr>
                              <w:r>
                                <w:rPr>
                                  <w:rFonts w:ascii="Arial" w:hAnsi="Arial" w:cs="Arial"/>
                                  <w:color w:val="15406C"/>
                                  <w:sz w:val="21"/>
                                  <w:szCs w:val="21"/>
                                </w:rPr>
                                <w:t> </w:t>
                              </w:r>
                            </w:p>
                            <w:p w:rsidR="001E3A8C" w:rsidRDefault="001E3A8C" w:rsidP="001E3A8C">
                              <w:pPr>
                                <w:pStyle w:val="NormalWeb"/>
                                <w:jc w:val="center"/>
                                <w:rPr>
                                  <w:rFonts w:ascii="Arial" w:hAnsi="Arial" w:cs="Arial"/>
                                  <w:color w:val="15406C"/>
                                  <w:sz w:val="18"/>
                                  <w:szCs w:val="18"/>
                                </w:rPr>
                              </w:pPr>
                              <w:r>
                                <w:rPr>
                                  <w:rFonts w:ascii="Arial" w:hAnsi="Arial" w:cs="Arial"/>
                                  <w:noProof/>
                                  <w:color w:val="3E21FF"/>
                                  <w:sz w:val="21"/>
                                  <w:szCs w:val="21"/>
                                </w:rPr>
                                <w:drawing>
                                  <wp:inline distT="0" distB="0" distL="0" distR="0" wp14:anchorId="6EB4C594" wp14:editId="280CB5AE">
                                    <wp:extent cx="1857375" cy="466725"/>
                                    <wp:effectExtent l="0" t="0" r="9525" b="9525"/>
                                    <wp:docPr id="3" name="Image 3" descr="JT SIH 21.11.18 - s'inscri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tIDEsswvAsEAAErCwFHwusCCuvIDts" descr="JT SIH 21.11.18 - s'inscri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466725"/>
                                            </a:xfrm>
                                            <a:prstGeom prst="rect">
                                              <a:avLst/>
                                            </a:prstGeom>
                                            <a:noFill/>
                                            <a:ln>
                                              <a:noFill/>
                                            </a:ln>
                                          </pic:spPr>
                                        </pic:pic>
                                      </a:graphicData>
                                    </a:graphic>
                                  </wp:inline>
                                </w:drawing>
                              </w:r>
                            </w:p>
                            <w:p w:rsidR="001E3A8C" w:rsidRDefault="001E3A8C" w:rsidP="001E3A8C">
                              <w:pPr>
                                <w:pStyle w:val="NormalWeb"/>
                                <w:jc w:val="center"/>
                                <w:rPr>
                                  <w:rFonts w:ascii="Arial" w:hAnsi="Arial" w:cs="Arial"/>
                                  <w:color w:val="15406C"/>
                                  <w:sz w:val="18"/>
                                  <w:szCs w:val="18"/>
                                </w:rPr>
                              </w:pPr>
                              <w:r>
                                <w:rPr>
                                  <w:rFonts w:ascii="Arial" w:hAnsi="Arial" w:cs="Arial"/>
                                  <w:color w:val="15406C"/>
                                  <w:sz w:val="18"/>
                                  <w:szCs w:val="18"/>
                                </w:rPr>
                                <w:t> </w:t>
                              </w:r>
                            </w:p>
                            <w:p w:rsidR="001E3A8C" w:rsidRDefault="001E3A8C" w:rsidP="001E3A8C">
                              <w:pPr>
                                <w:pStyle w:val="NormalWeb"/>
                                <w:jc w:val="both"/>
                                <w:rPr>
                                  <w:rFonts w:ascii="Arial" w:hAnsi="Arial" w:cs="Arial"/>
                                  <w:color w:val="15406C"/>
                                  <w:sz w:val="18"/>
                                  <w:szCs w:val="18"/>
                                </w:rPr>
                              </w:pPr>
                              <w:r>
                                <w:rPr>
                                  <w:rFonts w:ascii="Arial" w:hAnsi="Arial" w:cs="Arial"/>
                                  <w:color w:val="15406C"/>
                                  <w:sz w:val="21"/>
                                  <w:szCs w:val="21"/>
                                </w:rPr>
                                <w:t>En vous remerciant de votre fidélité, nous vous prions d’agréer, Chère Adhérent, Cher Adhérent, nos salutations amicales et dévouées.</w:t>
                              </w:r>
                            </w:p>
                            <w:p w:rsidR="001E3A8C" w:rsidRDefault="001E3A8C" w:rsidP="001E3A8C">
                              <w:pPr>
                                <w:pStyle w:val="NormalWeb"/>
                                <w:jc w:val="both"/>
                                <w:rPr>
                                  <w:rFonts w:ascii="Arial" w:hAnsi="Arial" w:cs="Arial"/>
                                  <w:color w:val="15406C"/>
                                  <w:sz w:val="18"/>
                                  <w:szCs w:val="18"/>
                                </w:rPr>
                              </w:pPr>
                              <w:r>
                                <w:rPr>
                                  <w:rFonts w:ascii="Arial" w:hAnsi="Arial" w:cs="Arial"/>
                                  <w:color w:val="15406C"/>
                                  <w:sz w:val="18"/>
                                  <w:szCs w:val="18"/>
                                </w:rPr>
                                <w:t> </w:t>
                              </w:r>
                            </w:p>
                            <w:p w:rsidR="001E3A8C" w:rsidRDefault="001E3A8C" w:rsidP="001E3A8C">
                              <w:pPr>
                                <w:rPr>
                                  <w:rFonts w:ascii="Arial" w:eastAsia="Times New Roman" w:hAnsi="Arial" w:cs="Arial"/>
                                  <w:color w:val="15406C"/>
                                  <w:sz w:val="18"/>
                                  <w:szCs w:val="18"/>
                                </w:rPr>
                              </w:pPr>
                              <w:r>
                                <w:rPr>
                                  <w:rFonts w:ascii="Arial" w:eastAsia="Times New Roman" w:hAnsi="Arial" w:cs="Arial"/>
                                  <w:color w:val="15406C"/>
                                  <w:sz w:val="21"/>
                                  <w:szCs w:val="21"/>
                                </w:rPr>
                                <w:t> </w:t>
                              </w:r>
                              <w:r>
                                <w:rPr>
                                  <w:rFonts w:ascii="Arial" w:eastAsia="Times New Roman" w:hAnsi="Arial" w:cs="Arial"/>
                                  <w:color w:val="15406C"/>
                                  <w:sz w:val="21"/>
                                  <w:szCs w:val="21"/>
                                </w:rPr>
                                <w:br/>
                              </w:r>
                              <w:r>
                                <w:rPr>
                                  <w:rStyle w:val="lev"/>
                                  <w:rFonts w:ascii="Arial" w:eastAsia="Times New Roman" w:hAnsi="Arial" w:cs="Arial"/>
                                  <w:color w:val="15406C"/>
                                  <w:sz w:val="21"/>
                                  <w:szCs w:val="21"/>
                                </w:rPr>
                                <w:t xml:space="preserve">Michel </w:t>
                              </w:r>
                              <w:proofErr w:type="spellStart"/>
                              <w:r>
                                <w:rPr>
                                  <w:rStyle w:val="lev"/>
                                  <w:rFonts w:ascii="Arial" w:eastAsia="Times New Roman" w:hAnsi="Arial" w:cs="Arial"/>
                                  <w:color w:val="15406C"/>
                                  <w:sz w:val="21"/>
                                  <w:szCs w:val="21"/>
                                </w:rPr>
                                <w:t>Ballereau</w:t>
                              </w:r>
                              <w:proofErr w:type="spellEnd"/>
                              <w:proofErr w:type="gramStart"/>
                              <w:r>
                                <w:rPr>
                                  <w:rStyle w:val="lev"/>
                                  <w:rFonts w:ascii="Arial" w:eastAsia="Times New Roman" w:hAnsi="Arial" w:cs="Arial"/>
                                  <w:color w:val="15406C"/>
                                  <w:sz w:val="21"/>
                                  <w:szCs w:val="21"/>
                                </w:rPr>
                                <w:t>,</w:t>
                              </w:r>
                              <w:proofErr w:type="gramEnd"/>
                              <w:r>
                                <w:rPr>
                                  <w:rFonts w:ascii="Arial" w:eastAsia="Times New Roman" w:hAnsi="Arial" w:cs="Arial"/>
                                  <w:color w:val="15406C"/>
                                  <w:sz w:val="21"/>
                                  <w:szCs w:val="21"/>
                                </w:rPr>
                                <w:br/>
                                <w:t>Délégué général</w:t>
                              </w:r>
                              <w:r>
                                <w:rPr>
                                  <w:rFonts w:ascii="Arial" w:eastAsia="Times New Roman" w:hAnsi="Arial" w:cs="Arial"/>
                                  <w:color w:val="15406C"/>
                                  <w:sz w:val="18"/>
                                  <w:szCs w:val="18"/>
                                </w:rPr>
                                <w:br/>
                                <w:t> </w:t>
                              </w:r>
                              <w:r>
                                <w:rPr>
                                  <w:rFonts w:ascii="Arial" w:eastAsia="Times New Roman" w:hAnsi="Arial" w:cs="Arial"/>
                                  <w:color w:val="15406C"/>
                                  <w:sz w:val="18"/>
                                  <w:szCs w:val="18"/>
                                </w:rPr>
                                <w:br/>
                                <w:t> </w:t>
                              </w:r>
                              <w:r>
                                <w:rPr>
                                  <w:rFonts w:ascii="Arial" w:eastAsia="Times New Roman" w:hAnsi="Arial" w:cs="Arial"/>
                                  <w:color w:val="15406C"/>
                                  <w:sz w:val="18"/>
                                  <w:szCs w:val="18"/>
                                </w:rPr>
                                <w:br/>
                              </w:r>
                              <w:r>
                                <w:rPr>
                                  <w:rFonts w:ascii="Arial" w:eastAsia="Times New Roman" w:hAnsi="Arial" w:cs="Arial"/>
                                  <w:noProof/>
                                  <w:color w:val="15406C"/>
                                  <w:sz w:val="21"/>
                                  <w:szCs w:val="21"/>
                                </w:rPr>
                                <w:drawing>
                                  <wp:inline distT="0" distB="0" distL="0" distR="0" wp14:anchorId="0AA291E1" wp14:editId="19C32B06">
                                    <wp:extent cx="1857375" cy="542925"/>
                                    <wp:effectExtent l="0" t="0" r="9525" b="9525"/>
                                    <wp:docPr id="2" name="Image 2" descr="http://img.news.fhp.fr/66842/8teo8Iha006nwOPOeh7Zcw/BTN-%C3%A0%20t%C3%A9l%C3%A9charger%20DPE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JICGvHIwJtECtArGsHGEvIHsFGwuvt" descr="http://img.news.fhp.fr/66842/8teo8Iha006nwOPOeh7Zcw/BTN-%C3%A0%20t%C3%A9l%C3%A9charger%20DPEJ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542925"/>
                                            </a:xfrm>
                                            <a:prstGeom prst="rect">
                                              <a:avLst/>
                                            </a:prstGeom>
                                            <a:noFill/>
                                            <a:ln>
                                              <a:noFill/>
                                            </a:ln>
                                          </pic:spPr>
                                        </pic:pic>
                                      </a:graphicData>
                                    </a:graphic>
                                  </wp:inline>
                                </w:drawing>
                              </w:r>
                            </w:p>
                            <w:p w:rsidR="001E3A8C" w:rsidRDefault="001E3A8C" w:rsidP="001E3A8C">
                              <w:pPr>
                                <w:numPr>
                                  <w:ilvl w:val="0"/>
                                  <w:numId w:val="2"/>
                                </w:numPr>
                                <w:spacing w:before="100" w:beforeAutospacing="1" w:after="100" w:afterAutospacing="1"/>
                                <w:rPr>
                                  <w:rFonts w:ascii="Arial" w:eastAsia="Times New Roman" w:hAnsi="Arial" w:cs="Arial"/>
                                  <w:color w:val="15406C"/>
                                  <w:sz w:val="18"/>
                                  <w:szCs w:val="18"/>
                                </w:rPr>
                              </w:pPr>
                              <w:hyperlink r:id="rId12" w:history="1">
                                <w:proofErr w:type="spellStart"/>
                                <w:r>
                                  <w:rPr>
                                    <w:rStyle w:val="Lienhypertexte"/>
                                    <w:rFonts w:ascii="Arial" w:eastAsia="Times New Roman" w:hAnsi="Arial" w:cs="Arial"/>
                                    <w:color w:val="3E21FF"/>
                                    <w:sz w:val="21"/>
                                    <w:szCs w:val="21"/>
                                  </w:rPr>
                                  <w:t>Pré-programme</w:t>
                                </w:r>
                                <w:proofErr w:type="spellEnd"/>
                                <w:r>
                                  <w:rPr>
                                    <w:rFonts w:ascii="Arial" w:eastAsia="Times New Roman" w:hAnsi="Arial" w:cs="Arial"/>
                                    <w:color w:val="3E21FF"/>
                                    <w:sz w:val="21"/>
                                    <w:szCs w:val="21"/>
                                    <w:u w:val="single"/>
                                  </w:rPr>
                                  <w:br/>
                                </w:r>
                              </w:hyperlink>
                            </w:p>
                          </w:tc>
                        </w:tr>
                      </w:tbl>
                      <w:p w:rsidR="001E3A8C" w:rsidRDefault="001E3A8C">
                        <w:pPr>
                          <w:rPr>
                            <w:rFonts w:eastAsia="Times New Roman"/>
                            <w:sz w:val="20"/>
                            <w:szCs w:val="20"/>
                          </w:rPr>
                        </w:pPr>
                      </w:p>
                    </w:tc>
                  </w:tr>
                </w:tbl>
                <w:p w:rsidR="001E3A8C" w:rsidRDefault="001E3A8C">
                  <w:pPr>
                    <w:rPr>
                      <w:rFonts w:eastAsia="Times New Roman"/>
                      <w:sz w:val="20"/>
                      <w:szCs w:val="20"/>
                    </w:rPr>
                  </w:pPr>
                </w:p>
              </w:tc>
            </w:tr>
          </w:tbl>
          <w:p w:rsidR="001E3A8C" w:rsidRDefault="001E3A8C">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E3A8C">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tblGrid>
                  <w:tr w:rsidR="001E3A8C">
                    <w:trPr>
                      <w:tblCellSpacing w:w="0" w:type="dxa"/>
                    </w:trPr>
                    <w:tc>
                      <w:tcPr>
                        <w:tcW w:w="0" w:type="auto"/>
                        <w:hideMark/>
                      </w:tcPr>
                      <w:p w:rsidR="001E3A8C" w:rsidRDefault="001E3A8C">
                        <w:pPr>
                          <w:rPr>
                            <w:rFonts w:eastAsia="Times New Roman"/>
                            <w:sz w:val="20"/>
                            <w:szCs w:val="20"/>
                          </w:rPr>
                        </w:pPr>
                      </w:p>
                    </w:tc>
                  </w:tr>
                </w:tbl>
                <w:p w:rsidR="001E3A8C" w:rsidRDefault="001E3A8C">
                  <w:pPr>
                    <w:rPr>
                      <w:rFonts w:eastAsia="Times New Roman"/>
                      <w:sz w:val="20"/>
                      <w:szCs w:val="20"/>
                    </w:rPr>
                  </w:pPr>
                </w:p>
              </w:tc>
            </w:tr>
            <w:tr w:rsidR="001E3A8C">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1E3A8C">
                          <w:trPr>
                            <w:tblCellSpacing w:w="0" w:type="dxa"/>
                          </w:trPr>
                          <w:tc>
                            <w:tcPr>
                              <w:tcW w:w="0" w:type="auto"/>
                              <w:tcMar>
                                <w:top w:w="120" w:type="dxa"/>
                                <w:left w:w="120" w:type="dxa"/>
                                <w:bottom w:w="120" w:type="dxa"/>
                                <w:right w:w="120" w:type="dxa"/>
                              </w:tcMar>
                              <w:hideMark/>
                            </w:tcPr>
                            <w:p w:rsidR="001E3A8C" w:rsidRDefault="001E3A8C">
                              <w:pPr>
                                <w:rPr>
                                  <w:rFonts w:ascii="Arial" w:eastAsia="Times New Roman" w:hAnsi="Arial" w:cs="Arial"/>
                                  <w:color w:val="15406C"/>
                                  <w:sz w:val="18"/>
                                  <w:szCs w:val="18"/>
                                </w:rPr>
                              </w:pPr>
                              <w:r>
                                <w:rPr>
                                  <w:rFonts w:ascii="Arial" w:eastAsia="Times New Roman" w:hAnsi="Arial" w:cs="Arial"/>
                                  <w:color w:val="15406C"/>
                                  <w:sz w:val="18"/>
                                  <w:szCs w:val="18"/>
                                </w:rPr>
                                <w:t> </w:t>
                              </w:r>
                            </w:p>
                          </w:tc>
                        </w:tr>
                      </w:tbl>
                      <w:p w:rsidR="001E3A8C" w:rsidRDefault="001E3A8C">
                        <w:pPr>
                          <w:rPr>
                            <w:rFonts w:eastAsia="Times New Roman"/>
                            <w:sz w:val="20"/>
                            <w:szCs w:val="20"/>
                          </w:rPr>
                        </w:pPr>
                      </w:p>
                    </w:tc>
                  </w:tr>
                </w:tbl>
                <w:p w:rsidR="001E3A8C" w:rsidRDefault="001E3A8C">
                  <w:pPr>
                    <w:rPr>
                      <w:rFonts w:eastAsia="Times New Roman"/>
                      <w:sz w:val="20"/>
                      <w:szCs w:val="20"/>
                    </w:rPr>
                  </w:pPr>
                </w:p>
              </w:tc>
            </w:tr>
          </w:tbl>
          <w:p w:rsidR="001E3A8C" w:rsidRDefault="001E3A8C">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E3A8C">
              <w:trPr>
                <w:tblCellSpacing w:w="0" w:type="dxa"/>
                <w:jc w:val="center"/>
              </w:trPr>
              <w:tc>
                <w:tcPr>
                  <w:tcW w:w="0" w:type="auto"/>
                  <w:shd w:val="clear" w:color="auto" w:fill="CEE9FD"/>
                  <w:hideMark/>
                </w:tcPr>
                <w:tbl>
                  <w:tblPr>
                    <w:tblW w:w="0" w:type="auto"/>
                    <w:tblCellSpacing w:w="0" w:type="dxa"/>
                    <w:tblCellMar>
                      <w:left w:w="0" w:type="dxa"/>
                      <w:right w:w="0" w:type="dxa"/>
                    </w:tblCellMar>
                    <w:tblLook w:val="04A0" w:firstRow="1" w:lastRow="0" w:firstColumn="1" w:lastColumn="0" w:noHBand="0" w:noVBand="1"/>
                  </w:tblPr>
                  <w:tblGrid>
                    <w:gridCol w:w="6480"/>
                    <w:gridCol w:w="3240"/>
                  </w:tblGrid>
                  <w:tr w:rsidR="001E3A8C">
                    <w:trPr>
                      <w:tblCellSpacing w:w="0" w:type="dxa"/>
                    </w:trPr>
                    <w:tc>
                      <w:tcPr>
                        <w:tcW w:w="0" w:type="auto"/>
                        <w:hideMark/>
                      </w:tcPr>
                      <w:tbl>
                        <w:tblPr>
                          <w:tblpPr w:vertAnchor="text"/>
                          <w:tblW w:w="6480" w:type="dxa"/>
                          <w:tblCellSpacing w:w="0" w:type="dxa"/>
                          <w:tblCellMar>
                            <w:left w:w="0" w:type="dxa"/>
                            <w:right w:w="0" w:type="dxa"/>
                          </w:tblCellMar>
                          <w:tblLook w:val="04A0" w:firstRow="1" w:lastRow="0" w:firstColumn="1" w:lastColumn="0" w:noHBand="0" w:noVBand="1"/>
                        </w:tblPr>
                        <w:tblGrid>
                          <w:gridCol w:w="6480"/>
                        </w:tblGrid>
                        <w:tr w:rsidR="001E3A8C">
                          <w:trPr>
                            <w:tblCellSpacing w:w="0" w:type="dxa"/>
                          </w:trPr>
                          <w:tc>
                            <w:tcPr>
                              <w:tcW w:w="0" w:type="auto"/>
                              <w:tcMar>
                                <w:top w:w="330" w:type="dxa"/>
                                <w:left w:w="330" w:type="dxa"/>
                                <w:bottom w:w="330" w:type="dxa"/>
                                <w:right w:w="330" w:type="dxa"/>
                              </w:tcMar>
                              <w:hideMark/>
                            </w:tcPr>
                            <w:p w:rsidR="001E3A8C" w:rsidRDefault="001E3A8C">
                              <w:pPr>
                                <w:spacing w:after="240"/>
                                <w:rPr>
                                  <w:rFonts w:ascii="Arial" w:eastAsia="Times New Roman" w:hAnsi="Arial" w:cs="Arial"/>
                                  <w:color w:val="15406C"/>
                                  <w:sz w:val="18"/>
                                  <w:szCs w:val="18"/>
                                </w:rPr>
                              </w:pPr>
                              <w:r>
                                <w:rPr>
                                  <w:rStyle w:val="lev"/>
                                  <w:rFonts w:ascii="Arial" w:eastAsia="Times New Roman" w:hAnsi="Arial" w:cs="Arial"/>
                                  <w:color w:val="15406C"/>
                                  <w:sz w:val="18"/>
                                  <w:szCs w:val="18"/>
                                </w:rPr>
                                <w:t>Contact : Direction de la Prospective économique, juridique et médicale</w:t>
                              </w:r>
                              <w:r>
                                <w:rPr>
                                  <w:rFonts w:ascii="Arial" w:eastAsia="Times New Roman" w:hAnsi="Arial" w:cs="Arial"/>
                                  <w:color w:val="15406C"/>
                                  <w:sz w:val="18"/>
                                  <w:szCs w:val="18"/>
                                </w:rPr>
                                <w:br/>
                              </w:r>
                              <w:r>
                                <w:rPr>
                                  <w:rStyle w:val="lev"/>
                                  <w:rFonts w:ascii="Arial" w:eastAsia="Times New Roman" w:hAnsi="Arial" w:cs="Arial"/>
                                  <w:color w:val="15406C"/>
                                  <w:sz w:val="18"/>
                                  <w:szCs w:val="18"/>
                                </w:rPr>
                                <w:t>Guilherme Pontes</w:t>
                              </w:r>
                              <w:r>
                                <w:rPr>
                                  <w:rFonts w:ascii="Arial" w:eastAsia="Times New Roman" w:hAnsi="Arial" w:cs="Arial"/>
                                  <w:color w:val="15406C"/>
                                  <w:sz w:val="18"/>
                                  <w:szCs w:val="18"/>
                                </w:rPr>
                                <w:br/>
                                <w:t>Responsable du pôle économique</w:t>
                              </w:r>
                              <w:r>
                                <w:rPr>
                                  <w:rFonts w:ascii="Arial" w:eastAsia="Times New Roman" w:hAnsi="Arial" w:cs="Arial"/>
                                  <w:color w:val="15406C"/>
                                  <w:sz w:val="18"/>
                                  <w:szCs w:val="18"/>
                                </w:rPr>
                                <w:br/>
                                <w:t xml:space="preserve">Tél. 01 53 83 56 56 - </w:t>
                              </w:r>
                              <w:hyperlink r:id="rId13" w:history="1">
                                <w:r>
                                  <w:rPr>
                                    <w:rStyle w:val="Lienhypertexte"/>
                                    <w:rFonts w:ascii="Arial" w:eastAsia="Times New Roman" w:hAnsi="Arial" w:cs="Arial"/>
                                    <w:sz w:val="18"/>
                                    <w:szCs w:val="18"/>
                                  </w:rPr>
                                  <w:t>guilherme.pontes@fhp.fr</w:t>
                                </w:r>
                              </w:hyperlink>
                              <w:r>
                                <w:rPr>
                                  <w:rFonts w:ascii="Arial" w:eastAsia="Times New Roman" w:hAnsi="Arial" w:cs="Arial"/>
                                  <w:color w:val="15406C"/>
                                  <w:sz w:val="18"/>
                                  <w:szCs w:val="18"/>
                                </w:rPr>
                                <w:t xml:space="preserve"> </w:t>
                              </w:r>
                            </w:p>
                          </w:tc>
                        </w:tr>
                      </w:tbl>
                      <w:p w:rsidR="001E3A8C" w:rsidRDefault="001E3A8C">
                        <w:pPr>
                          <w:rPr>
                            <w:rFonts w:eastAsia="Times New Roman"/>
                            <w:sz w:val="20"/>
                            <w:szCs w:val="20"/>
                          </w:rPr>
                        </w:pPr>
                      </w:p>
                    </w:tc>
                    <w:tc>
                      <w:tcPr>
                        <w:tcW w:w="0" w:type="auto"/>
                        <w:hideMark/>
                      </w:tcPr>
                      <w:tbl>
                        <w:tblPr>
                          <w:tblpPr w:vertAnchor="text" w:tblpXSpec="right" w:tblpYSpec="center"/>
                          <w:tblW w:w="3240" w:type="dxa"/>
                          <w:tblCellSpacing w:w="0" w:type="dxa"/>
                          <w:tblCellMar>
                            <w:left w:w="0" w:type="dxa"/>
                            <w:right w:w="0" w:type="dxa"/>
                          </w:tblCellMar>
                          <w:tblLook w:val="04A0" w:firstRow="1" w:lastRow="0" w:firstColumn="1" w:lastColumn="0" w:noHBand="0" w:noVBand="1"/>
                        </w:tblPr>
                        <w:tblGrid>
                          <w:gridCol w:w="3240"/>
                        </w:tblGrid>
                        <w:tr w:rsidR="001E3A8C">
                          <w:trPr>
                            <w:tblCellSpacing w:w="0" w:type="dxa"/>
                          </w:trPr>
                          <w:tc>
                            <w:tcPr>
                              <w:tcW w:w="0" w:type="auto"/>
                              <w:tcMar>
                                <w:top w:w="330" w:type="dxa"/>
                                <w:left w:w="330" w:type="dxa"/>
                                <w:bottom w:w="330" w:type="dxa"/>
                                <w:right w:w="330" w:type="dxa"/>
                              </w:tcMar>
                              <w:hideMark/>
                            </w:tcPr>
                            <w:p w:rsidR="001E3A8C" w:rsidRDefault="001E3A8C">
                              <w:pPr>
                                <w:pStyle w:val="NormalWeb"/>
                                <w:jc w:val="center"/>
                                <w:rPr>
                                  <w:rFonts w:ascii="Arial" w:hAnsi="Arial" w:cs="Arial"/>
                                  <w:color w:val="15406C"/>
                                  <w:sz w:val="18"/>
                                  <w:szCs w:val="18"/>
                                </w:rPr>
                              </w:pPr>
                              <w:r>
                                <w:rPr>
                                  <w:rFonts w:ascii="Arial" w:hAnsi="Arial" w:cs="Arial"/>
                                  <w:noProof/>
                                  <w:color w:val="3E21FF"/>
                                  <w:sz w:val="18"/>
                                  <w:szCs w:val="18"/>
                                </w:rPr>
                                <w:drawing>
                                  <wp:inline distT="0" distB="0" distL="0" distR="0">
                                    <wp:extent cx="1524000" cy="390525"/>
                                    <wp:effectExtent l="0" t="0" r="0" b="9525"/>
                                    <wp:docPr id="1" name="Image 1" descr="http://img.news.fhp.fr/66842/8teo8Iha006nwOPOeh7Zcw/image_07.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sFJICFvIHEIIAJvDBFuBsEuIFGBBJ" descr="http://img.news.fhp.fr/66842/8teo8Iha006nwOPOeh7Zcw/image_0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r>
                      </w:tbl>
                      <w:p w:rsidR="001E3A8C" w:rsidRDefault="001E3A8C">
                        <w:pPr>
                          <w:rPr>
                            <w:rFonts w:eastAsia="Times New Roman"/>
                            <w:sz w:val="20"/>
                            <w:szCs w:val="20"/>
                          </w:rPr>
                        </w:pPr>
                      </w:p>
                    </w:tc>
                  </w:tr>
                </w:tbl>
                <w:p w:rsidR="001E3A8C" w:rsidRDefault="001E3A8C">
                  <w:pPr>
                    <w:rPr>
                      <w:rFonts w:eastAsia="Times New Roman"/>
                      <w:sz w:val="20"/>
                      <w:szCs w:val="20"/>
                    </w:rPr>
                  </w:pPr>
                </w:p>
              </w:tc>
            </w:tr>
          </w:tbl>
          <w:p w:rsidR="001E3A8C" w:rsidRDefault="001E3A8C">
            <w:pPr>
              <w:jc w:val="center"/>
              <w:rPr>
                <w:rFonts w:eastAsia="Times New Roman"/>
                <w:sz w:val="20"/>
                <w:szCs w:val="20"/>
              </w:rPr>
            </w:pPr>
          </w:p>
        </w:tc>
      </w:tr>
      <w:tr w:rsidR="001E3A8C" w:rsidTr="001E3A8C">
        <w:trPr>
          <w:tblCellSpacing w:w="0" w:type="dxa"/>
          <w:jc w:val="center"/>
        </w:trPr>
        <w:tc>
          <w:tcPr>
            <w:tcW w:w="0" w:type="auto"/>
            <w:tcMar>
              <w:top w:w="150" w:type="dxa"/>
              <w:left w:w="150" w:type="dxa"/>
              <w:bottom w:w="150" w:type="dxa"/>
              <w:right w:w="150" w:type="dxa"/>
            </w:tcMar>
          </w:tcPr>
          <w:p w:rsidR="001E3A8C" w:rsidRDefault="001E3A8C">
            <w:pPr>
              <w:pStyle w:val="NormalWeb"/>
              <w:jc w:val="center"/>
              <w:rPr>
                <w:rStyle w:val="Lienhypertexte"/>
                <w:rFonts w:ascii="Arial" w:hAnsi="Arial" w:cs="Arial"/>
                <w:color w:val="3E21FF"/>
                <w:sz w:val="15"/>
                <w:szCs w:val="15"/>
              </w:rPr>
            </w:pPr>
            <w:hyperlink r:id="rId16" w:history="1">
              <w:r>
                <w:rPr>
                  <w:rStyle w:val="Lienhypertexte"/>
                  <w:rFonts w:ascii="Arial" w:hAnsi="Arial" w:cs="Arial"/>
                  <w:color w:val="8C8C8C"/>
                  <w:sz w:val="15"/>
                  <w:szCs w:val="15"/>
                </w:rPr>
                <w:t>Se désabonner</w:t>
              </w:r>
            </w:hyperlink>
          </w:p>
          <w:p w:rsidR="001E3A8C" w:rsidRDefault="001E3A8C">
            <w:pPr>
              <w:jc w:val="center"/>
              <w:rPr>
                <w:rFonts w:eastAsia="Times New Roman"/>
                <w:color w:val="000000"/>
                <w:sz w:val="18"/>
                <w:szCs w:val="18"/>
              </w:rPr>
            </w:pPr>
          </w:p>
        </w:tc>
      </w:tr>
    </w:tbl>
    <w:p w:rsidR="001B3138" w:rsidRDefault="001B3138"/>
    <w:sectPr w:rsidR="001B3138" w:rsidSect="001E3A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487C"/>
    <w:multiLevelType w:val="multilevel"/>
    <w:tmpl w:val="FFC83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A6A68"/>
    <w:multiLevelType w:val="multilevel"/>
    <w:tmpl w:val="E63A0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4B8"/>
    <w:rsid w:val="001B3138"/>
    <w:rsid w:val="001E3A8C"/>
    <w:rsid w:val="006E2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0BC2E-1DE5-4AD1-BA26-C00F3605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A8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E3A8C"/>
    <w:rPr>
      <w:color w:val="0000FF"/>
      <w:u w:val="single"/>
    </w:rPr>
  </w:style>
  <w:style w:type="paragraph" w:styleId="NormalWeb">
    <w:name w:val="Normal (Web)"/>
    <w:basedOn w:val="Normal"/>
    <w:uiPriority w:val="99"/>
    <w:semiHidden/>
    <w:unhideWhenUsed/>
    <w:rsid w:val="001E3A8C"/>
  </w:style>
  <w:style w:type="character" w:styleId="lev">
    <w:name w:val="Strong"/>
    <w:basedOn w:val="Policepardfaut"/>
    <w:uiPriority w:val="22"/>
    <w:qFormat/>
    <w:rsid w:val="001E3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ye.news.fhp.fr/c?p=xBBBRNCPTRzQqBBI0LFDeNCp7w_QyD_EEF4xBnT90M80Q9Ck0KnQzdDe7n3QrXTZSmh0dHA6Ly9rb2FtYS5maHAuZnIvZmljaGllcnMvMjAxODEwMTYxNDU4NDFfUHJvZ3JhbW1lX19KVF9TSUhfXzE2b2N0VjMucGRmpTY2ODQyxBDQytCS8NCAJtCwOELQpfXQmAfQ0dCZ0IJAr2V5ZS5uZXdzLmZocC5mcsQU8CfQt_EmEu9x0MA5bw780M1FXivQoznQyw" TargetMode="External"/><Relationship Id="rId13" Type="http://schemas.openxmlformats.org/officeDocument/2006/relationships/hyperlink" Target="mailto:guilherme.pontes@fhp.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eye.news.fhp.fr/c?p=xBBBRNCPTRzQqBBI0LFDeNCp7w_QyD_EENCs0NnQku930IHQw0bQmeTQltC_0JzQkNDPV9lKaHR0cDovL2tvYW1hLmZocC5mci9maWNoaWVycy8yMDE4MTAxNjE0NTg0MV9Qcm9ncmFtbWVfX0pUX1NJSF9fMTZvY3RWMy5wZGalNjY4NDLEENDK0JLw0IAm0LA4QtCl9dCYB9DR0JnQgkCvZXllLm5ld3MuZmhwLmZyxBTwJ9C38SYS73HQwDlvDvzQzUVeK9CjOdD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ye.news.fhp.fr/r/USB/29/66842/QUSPTRyoEEixQ3ip7w_IPw/ypLwgCawOEKl9ZgH0ZmCQA?email=fhpssr@fhp-ssr.fr&amp;adm=com.fhp@fhp.f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eye.news.fhp.fr/m2?r=pTY2ODQyxBBBRNCPTRzQqBBI0LFDeNCp7w_QyD_EENDK0JLw0IAm0LA4QtCl9dCYB9DR0JnQgkCxZmhwc3NyQGZocC1zc3IuZnKglcQQ0M7QwtCd0LJ9NS5D0JMeOE1EYBAHo01tZcQQ0IJ10KLQ1NCKLCxD0Id_82z60KzQzNDOpk1BR0VSRcQQ0KDQh2hd0Mb5Mk_Qih3Q2NCy0LfnL9CvqFZhbMOpcmllxBAhLF4LA0bQyUjQgXp5c9ClFPohp0ZIUC1TU1LEEPjQtTjQ0ADQ3DhI0JTu_NDeZ9Cf0JFhpTMxNjQ4" TargetMode="Externa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eye.news.fhp.fr/c?p=xBBBRNCPTRzQqBBI0LFDeNCp7w_QyD_EEOzQrmXQli_QmtCDTtCcXww-0J3Q1tCr0LrZY2h0dHBzOi8vZG9jcy5nb29nbGUuY29tL2Zvcm1zL2QvZS8xRkFJcFFMU2ZOSWJCV2pSUzBpODZPLU02YTkzbjR2cm8xWVlfWllZN01TVDRJdGxJRmhlZ3Rxdy92aWV3Zm9ybaU2Njg0MsQQ0MrQkvDQgCbQsDhC0KX10JgH0NHQmdCCQK9leWUubmV3cy5maHAuZnLEFPAn0LfxJhLvcdDAOW8O_NDNRV4r0KM50Ms" TargetMode="External"/><Relationship Id="rId14" Type="http://schemas.openxmlformats.org/officeDocument/2006/relationships/hyperlink" Target="http://eye.news.fhp.fr/c?p=xBBBRNCPTRzQqBBI0LFDeNCp7w_QyD_EEG0VDHUv0LzQzkrQutC0UW39ajtmsmh0dHA6Ly93d3cuZmhwLmZyL6U2Njg0MsQQ0MrQkvDQgCbQsDhC0KX10JgH0NHQmdCCQK9leWUubmV3cy5maHAuZnLEFPAn0LfxJhLvcdDAOW8O_NDNRV4r0KM50M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3699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2018-10-31T14:18:00Z</dcterms:created>
  <dcterms:modified xsi:type="dcterms:W3CDTF">2018-10-31T14:20:00Z</dcterms:modified>
</cp:coreProperties>
</file>