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C2AB1" w:rsidTr="00AC2AB1">
        <w:trPr>
          <w:tblCellSpacing w:w="0" w:type="dxa"/>
          <w:jc w:val="center"/>
        </w:trPr>
        <w:tc>
          <w:tcPr>
            <w:tcW w:w="0" w:type="auto"/>
            <w:hideMark/>
          </w:tcPr>
          <w:p w:rsidR="00AC2AB1" w:rsidRDefault="00AC2AB1">
            <w:r>
              <w:rPr>
                <w:noProof/>
              </w:rPr>
              <w:drawing>
                <wp:inline distT="0" distB="0" distL="0" distR="0">
                  <wp:extent cx="5715000" cy="1285875"/>
                  <wp:effectExtent l="0" t="0" r="0" b="9525"/>
                  <wp:docPr id="2" name="Image 2"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AC2AB1" w:rsidTr="00AC2AB1">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AC2AB1">
              <w:trPr>
                <w:tblCellSpacing w:w="0" w:type="dxa"/>
              </w:trPr>
              <w:tc>
                <w:tcPr>
                  <w:tcW w:w="0" w:type="auto"/>
                  <w:shd w:val="clear" w:color="auto" w:fill="F8F8F8"/>
                  <w:tcMar>
                    <w:top w:w="300" w:type="dxa"/>
                    <w:left w:w="150" w:type="dxa"/>
                    <w:bottom w:w="225" w:type="dxa"/>
                    <w:right w:w="150" w:type="dxa"/>
                  </w:tcMar>
                  <w:vAlign w:val="center"/>
                  <w:hideMark/>
                </w:tcPr>
                <w:p w:rsidR="00AC2AB1" w:rsidRDefault="00AC2AB1">
                  <w:pPr>
                    <w:rPr>
                      <w:rFonts w:ascii="Arial" w:hAnsi="Arial" w:cs="Arial"/>
                      <w:color w:val="013E6A"/>
                      <w:sz w:val="18"/>
                      <w:szCs w:val="18"/>
                    </w:rPr>
                  </w:pPr>
                  <w:r>
                    <w:rPr>
                      <w:rStyle w:val="lev"/>
                      <w:rFonts w:ascii="Arial" w:hAnsi="Arial" w:cs="Arial"/>
                      <w:color w:val="013E6A"/>
                      <w:sz w:val="18"/>
                      <w:szCs w:val="18"/>
                    </w:rPr>
                    <w:t>Lundi 19 décembre 2016</w:t>
                  </w:r>
                  <w:r>
                    <w:rPr>
                      <w:rFonts w:ascii="Arial" w:hAnsi="Arial" w:cs="Arial"/>
                      <w:color w:val="013E6A"/>
                      <w:sz w:val="18"/>
                      <w:szCs w:val="18"/>
                    </w:rPr>
                    <w:t xml:space="preserve"> </w:t>
                  </w:r>
                  <w:r>
                    <w:rPr>
                      <w:rFonts w:ascii="Arial" w:hAnsi="Arial" w:cs="Arial"/>
                      <w:color w:val="013E6A"/>
                      <w:sz w:val="18"/>
                      <w:szCs w:val="18"/>
                    </w:rPr>
                    <w:br/>
                    <w:t xml:space="preserve">Réf. : 389-2016 </w:t>
                  </w:r>
                </w:p>
              </w:tc>
            </w:tr>
            <w:tr w:rsidR="00AC2AB1">
              <w:trPr>
                <w:tblCellSpacing w:w="0" w:type="dxa"/>
              </w:trPr>
              <w:tc>
                <w:tcPr>
                  <w:tcW w:w="0" w:type="auto"/>
                  <w:shd w:val="clear" w:color="auto" w:fill="F8F8F8"/>
                  <w:tcMar>
                    <w:top w:w="300" w:type="dxa"/>
                    <w:left w:w="150" w:type="dxa"/>
                    <w:bottom w:w="225" w:type="dxa"/>
                    <w:right w:w="150" w:type="dxa"/>
                  </w:tcMar>
                  <w:vAlign w:val="center"/>
                  <w:hideMark/>
                </w:tcPr>
                <w:p w:rsidR="00AC2AB1" w:rsidRDefault="00AC2AB1">
                  <w:pPr>
                    <w:rPr>
                      <w:rFonts w:ascii="Arial" w:hAnsi="Arial" w:cs="Arial"/>
                      <w:b/>
                      <w:bCs/>
                      <w:color w:val="5CC9F3"/>
                      <w:sz w:val="21"/>
                      <w:szCs w:val="21"/>
                    </w:rPr>
                  </w:pPr>
                  <w:r>
                    <w:rPr>
                      <w:rFonts w:ascii="Arial" w:hAnsi="Arial" w:cs="Arial"/>
                      <w:b/>
                      <w:bCs/>
                      <w:color w:val="5CC9F3"/>
                      <w:sz w:val="21"/>
                      <w:szCs w:val="21"/>
                    </w:rPr>
                    <w:t xml:space="preserve">Informations prospectives </w:t>
                  </w:r>
                </w:p>
              </w:tc>
            </w:tr>
            <w:tr w:rsidR="00AC2AB1">
              <w:trPr>
                <w:tblCellSpacing w:w="0" w:type="dxa"/>
              </w:trPr>
              <w:tc>
                <w:tcPr>
                  <w:tcW w:w="0" w:type="auto"/>
                  <w:shd w:val="clear" w:color="auto" w:fill="F8F8F8"/>
                  <w:tcMar>
                    <w:top w:w="300" w:type="dxa"/>
                    <w:left w:w="150" w:type="dxa"/>
                    <w:bottom w:w="225" w:type="dxa"/>
                    <w:right w:w="150" w:type="dxa"/>
                  </w:tcMar>
                  <w:vAlign w:val="center"/>
                  <w:hideMark/>
                </w:tcPr>
                <w:p w:rsidR="00AC2AB1" w:rsidRDefault="00AC2AB1">
                  <w:pPr>
                    <w:jc w:val="center"/>
                    <w:rPr>
                      <w:rFonts w:ascii="Arial" w:hAnsi="Arial" w:cs="Arial"/>
                      <w:b/>
                      <w:bCs/>
                      <w:color w:val="013E6A"/>
                      <w:sz w:val="39"/>
                      <w:szCs w:val="39"/>
                    </w:rPr>
                  </w:pPr>
                  <w:r>
                    <w:rPr>
                      <w:rFonts w:ascii="Arial" w:hAnsi="Arial" w:cs="Arial"/>
                      <w:b/>
                      <w:bCs/>
                      <w:color w:val="013E6A"/>
                      <w:sz w:val="39"/>
                      <w:szCs w:val="39"/>
                    </w:rPr>
                    <w:t>Maisons de santé pluri-professionnelles / Consultations avancées / Consultations de soins non programmés : un enjeu majeur pour l'hospitalisation privée</w:t>
                  </w:r>
                </w:p>
              </w:tc>
            </w:tr>
            <w:tr w:rsidR="00AC2AB1">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700"/>
                  </w:tblGrid>
                  <w:tr w:rsidR="00AC2AB1">
                    <w:trPr>
                      <w:tblCellSpacing w:w="15" w:type="dxa"/>
                    </w:trPr>
                    <w:tc>
                      <w:tcPr>
                        <w:tcW w:w="0" w:type="auto"/>
                        <w:tcMar>
                          <w:top w:w="15" w:type="dxa"/>
                          <w:left w:w="15" w:type="dxa"/>
                          <w:bottom w:w="15" w:type="dxa"/>
                          <w:right w:w="15" w:type="dxa"/>
                        </w:tcMar>
                        <w:vAlign w:val="center"/>
                      </w:tcPr>
                      <w:p w:rsidR="00AC2AB1" w:rsidRDefault="00AC2AB1">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6" style="width:453.6pt;height:1.5pt" o:hralign="center" o:hrstd="t" o:hr="t" fillcolor="#a0a0a0" stroked="f"/>
                          </w:pict>
                        </w:r>
                      </w:p>
                      <w:p w:rsidR="00AC2AB1" w:rsidRDefault="00AC2AB1">
                        <w:pPr>
                          <w:jc w:val="both"/>
                          <w:rPr>
                            <w:rFonts w:ascii="Arial" w:hAnsi="Arial" w:cs="Arial"/>
                            <w:color w:val="436999"/>
                            <w:sz w:val="20"/>
                            <w:szCs w:val="20"/>
                          </w:rPr>
                        </w:pPr>
                        <w:r>
                          <w:rPr>
                            <w:rFonts w:ascii="Arial" w:hAnsi="Arial" w:cs="Arial"/>
                            <w:b/>
                            <w:bCs/>
                            <w:color w:val="436999"/>
                            <w:sz w:val="20"/>
                            <w:szCs w:val="20"/>
                          </w:rPr>
                          <w:t xml:space="preserve">A retenir : </w:t>
                        </w:r>
                        <w:r>
                          <w:rPr>
                            <w:rFonts w:ascii="Arial" w:hAnsi="Arial" w:cs="Arial"/>
                            <w:color w:val="436999"/>
                            <w:sz w:val="20"/>
                            <w:szCs w:val="20"/>
                          </w:rPr>
                          <w:t>La FHP a élaboré avec le soutien de la FHP-MCO un guide d’aide à la création des maisons de santé pluri-professionnelles ainsi qu’une note de sensibilisation à l’offre de soins de proximité que sont les consultations avancées et les consultations des soins non programmés. Ces deux documents constituent une aide à la réflexion et à la conduite de projets sur le terrain.</w:t>
                        </w:r>
                      </w:p>
                      <w:p w:rsidR="00AC2AB1" w:rsidRDefault="00AC2AB1">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7" style="width:453.6pt;height:1.5pt" o:hralign="center" o:hrstd="t" o:hr="t" fillcolor="#a0a0a0" stroked="f"/>
                          </w:pict>
                        </w:r>
                      </w:p>
                      <w:p w:rsidR="00AC2AB1" w:rsidRDefault="00AC2AB1">
                        <w:pPr>
                          <w:rPr>
                            <w:rFonts w:ascii="Arial" w:hAnsi="Arial" w:cs="Arial"/>
                            <w:color w:val="436999"/>
                            <w:sz w:val="20"/>
                            <w:szCs w:val="20"/>
                          </w:rPr>
                        </w:pPr>
                      </w:p>
                      <w:p w:rsidR="00AC2AB1" w:rsidRDefault="00AC2AB1" w:rsidP="00AC2AB1">
                        <w:pPr>
                          <w:rPr>
                            <w:rFonts w:ascii="Arial" w:hAnsi="Arial" w:cs="Arial"/>
                            <w:color w:val="436999"/>
                            <w:sz w:val="20"/>
                            <w:szCs w:val="20"/>
                          </w:rPr>
                        </w:pPr>
                        <w:r>
                          <w:rPr>
                            <w:rFonts w:ascii="Arial" w:hAnsi="Arial" w:cs="Arial"/>
                            <w:color w:val="436999"/>
                            <w:sz w:val="20"/>
                            <w:szCs w:val="20"/>
                          </w:rPr>
                          <w:br/>
                          <w:t>Chère Adhérente, Cher</w:t>
                        </w:r>
                        <w:bookmarkStart w:id="0" w:name="_GoBack"/>
                        <w:bookmarkEnd w:id="0"/>
                        <w:r>
                          <w:rPr>
                            <w:rFonts w:ascii="Arial" w:hAnsi="Arial" w:cs="Arial"/>
                            <w:color w:val="436999"/>
                            <w:sz w:val="20"/>
                            <w:szCs w:val="20"/>
                          </w:rPr>
                          <w:t xml:space="preserve"> Adhérent,</w:t>
                        </w:r>
                        <w:r>
                          <w:rPr>
                            <w:rFonts w:ascii="Arial" w:hAnsi="Arial" w:cs="Arial"/>
                            <w:color w:val="436999"/>
                            <w:sz w:val="20"/>
                            <w:szCs w:val="20"/>
                          </w:rPr>
                          <w:br/>
                        </w:r>
                        <w:r>
                          <w:rPr>
                            <w:rFonts w:ascii="Arial" w:hAnsi="Arial" w:cs="Arial"/>
                            <w:color w:val="436999"/>
                            <w:sz w:val="20"/>
                            <w:szCs w:val="20"/>
                          </w:rPr>
                          <w:br/>
                          <w:t>Dans un environnement marqué par une logique de territoire de santé et de filières de soins, la volonté croissante de la population et des professionnels de disposer d’une offre globale de prise en charge nous invite à encourager le développement de filières de prise en charge des patients par les établissements de santé privés sur les territoires de santé.</w:t>
                        </w:r>
                        <w:r>
                          <w:rPr>
                            <w:rFonts w:ascii="Arial" w:hAnsi="Arial" w:cs="Arial"/>
                            <w:color w:val="436999"/>
                            <w:sz w:val="20"/>
                            <w:szCs w:val="20"/>
                          </w:rPr>
                          <w:br/>
                        </w:r>
                        <w:r>
                          <w:rPr>
                            <w:rFonts w:ascii="Arial" w:hAnsi="Arial" w:cs="Arial"/>
                            <w:color w:val="436999"/>
                            <w:sz w:val="20"/>
                            <w:szCs w:val="20"/>
                          </w:rPr>
                          <w:br/>
                          <w:t>Qu’il s’agisse des maisons de santé pluri-professionnelles, des consultations avancées ou des consultations de soins non programmés, ces dispositifs de maillage territorial visent à garantir et conforter la place de notre secteur dans les territoires de santé, à l’aune de la constitution des groupements hospitaliers de territoire (GHT) dans le secteur public.</w:t>
                        </w:r>
                        <w:r>
                          <w:rPr>
                            <w:rFonts w:ascii="Arial" w:hAnsi="Arial" w:cs="Arial"/>
                            <w:color w:val="436999"/>
                            <w:sz w:val="20"/>
                            <w:szCs w:val="20"/>
                          </w:rPr>
                          <w:br/>
                        </w:r>
                        <w:r>
                          <w:rPr>
                            <w:rFonts w:ascii="Arial" w:hAnsi="Arial" w:cs="Arial"/>
                            <w:color w:val="436999"/>
                            <w:sz w:val="20"/>
                            <w:szCs w:val="20"/>
                          </w:rPr>
                          <w:br/>
                          <w:t>Pourtant, ces organisations d’offre de soins de proximité et de filières de prise en charge sont encore trop peu développées, alors même qu’elles constituent un véritable enjeu pour les cliniques et hôpitaux privés.</w:t>
                        </w:r>
                        <w:r>
                          <w:rPr>
                            <w:rFonts w:ascii="Arial" w:hAnsi="Arial" w:cs="Arial"/>
                            <w:color w:val="436999"/>
                            <w:sz w:val="20"/>
                            <w:szCs w:val="20"/>
                          </w:rPr>
                          <w:br/>
                        </w:r>
                        <w:r>
                          <w:rPr>
                            <w:rFonts w:ascii="Arial" w:hAnsi="Arial" w:cs="Arial"/>
                            <w:color w:val="436999"/>
                            <w:sz w:val="20"/>
                            <w:szCs w:val="20"/>
                          </w:rPr>
                          <w:br/>
                          <w:t>Le guide d’aide à la création des maisons de santé pluri-professionnelles ainsi que la note de sensibilisation au développement des consultations avancées et des soins non programmés que nous vous proposons, entendent répondre à vos interrogations sur les modalités de mise en œuvre de tels projets, et présentent quelques retours d’expérience d’établissements de santé qui ont d’ores et déjà développé de telles organisations.</w:t>
                        </w:r>
                        <w:r>
                          <w:rPr>
                            <w:rFonts w:ascii="Arial" w:hAnsi="Arial" w:cs="Arial"/>
                            <w:color w:val="436999"/>
                            <w:sz w:val="20"/>
                            <w:szCs w:val="20"/>
                          </w:rPr>
                          <w:br/>
                        </w:r>
                        <w:r>
                          <w:rPr>
                            <w:rFonts w:ascii="Arial" w:hAnsi="Arial" w:cs="Arial"/>
                            <w:color w:val="436999"/>
                            <w:sz w:val="20"/>
                            <w:szCs w:val="20"/>
                          </w:rPr>
                          <w:br/>
                        </w:r>
                        <w:r>
                          <w:rPr>
                            <w:rFonts w:ascii="Arial" w:hAnsi="Arial" w:cs="Arial"/>
                            <w:color w:val="436999"/>
                            <w:sz w:val="20"/>
                            <w:szCs w:val="20"/>
                          </w:rPr>
                          <w:lastRenderedPageBreak/>
                          <w:t>Nous vous prions d’agréer, Chère Adhérente, Cher Adhérent, nos salutations amicales et dévouées.</w:t>
                        </w:r>
                      </w:p>
                      <w:p w:rsidR="00AC2AB1" w:rsidRDefault="00AC2AB1">
                        <w:pPr>
                          <w:rPr>
                            <w:rFonts w:ascii="Arial" w:hAnsi="Arial" w:cs="Arial"/>
                            <w:color w:val="436999"/>
                            <w:sz w:val="20"/>
                            <w:szCs w:val="20"/>
                          </w:rPr>
                        </w:pPr>
                      </w:p>
                      <w:tbl>
                        <w:tblPr>
                          <w:tblW w:w="8535" w:type="dxa"/>
                          <w:tblCellSpacing w:w="15" w:type="dxa"/>
                          <w:tblCellMar>
                            <w:left w:w="0" w:type="dxa"/>
                            <w:right w:w="0" w:type="dxa"/>
                          </w:tblCellMar>
                          <w:tblLook w:val="04A0" w:firstRow="1" w:lastRow="0" w:firstColumn="1" w:lastColumn="0" w:noHBand="0" w:noVBand="1"/>
                        </w:tblPr>
                        <w:tblGrid>
                          <w:gridCol w:w="4616"/>
                          <w:gridCol w:w="3919"/>
                        </w:tblGrid>
                        <w:tr w:rsidR="00AC2AB1">
                          <w:trPr>
                            <w:tblCellSpacing w:w="15" w:type="dxa"/>
                          </w:trPr>
                          <w:tc>
                            <w:tcPr>
                              <w:tcW w:w="0" w:type="auto"/>
                              <w:tcMar>
                                <w:top w:w="15" w:type="dxa"/>
                                <w:left w:w="15" w:type="dxa"/>
                                <w:bottom w:w="15" w:type="dxa"/>
                                <w:right w:w="15" w:type="dxa"/>
                              </w:tcMar>
                              <w:vAlign w:val="center"/>
                              <w:hideMark/>
                            </w:tcPr>
                            <w:p w:rsidR="00AC2AB1" w:rsidRDefault="00AC2AB1">
                              <w:pPr>
                                <w:jc w:val="center"/>
                              </w:pPr>
                              <w:r>
                                <w:rPr>
                                  <w:rFonts w:ascii="Arial" w:hAnsi="Arial" w:cs="Arial"/>
                                  <w:b/>
                                  <w:bCs/>
                                  <w:color w:val="1F497D"/>
                                  <w:sz w:val="20"/>
                                  <w:szCs w:val="20"/>
                                </w:rPr>
                                <w:t>Emmanuel DAYDOU</w:t>
                              </w:r>
                              <w:r>
                                <w:rPr>
                                  <w:rFonts w:ascii="Arial" w:hAnsi="Arial" w:cs="Arial"/>
                                  <w:b/>
                                  <w:bCs/>
                                  <w:color w:val="1F497D"/>
                                  <w:sz w:val="20"/>
                                  <w:szCs w:val="20"/>
                                </w:rPr>
                                <w:br/>
                                <w:t>Directeur de la Prospective FHP</w:t>
                              </w:r>
                            </w:p>
                          </w:tc>
                          <w:tc>
                            <w:tcPr>
                              <w:tcW w:w="0" w:type="auto"/>
                              <w:tcMar>
                                <w:top w:w="15" w:type="dxa"/>
                                <w:left w:w="15" w:type="dxa"/>
                                <w:bottom w:w="15" w:type="dxa"/>
                                <w:right w:w="15" w:type="dxa"/>
                              </w:tcMar>
                              <w:vAlign w:val="center"/>
                              <w:hideMark/>
                            </w:tcPr>
                            <w:p w:rsidR="00AC2AB1" w:rsidRDefault="00AC2AB1">
                              <w:pPr>
                                <w:jc w:val="center"/>
                              </w:pPr>
                              <w:r>
                                <w:rPr>
                                  <w:rFonts w:ascii="Arial" w:hAnsi="Arial" w:cs="Arial"/>
                                  <w:b/>
                                  <w:bCs/>
                                  <w:color w:val="1F497D"/>
                                  <w:sz w:val="20"/>
                                  <w:szCs w:val="20"/>
                                </w:rPr>
                                <w:t>Thierry BECHU</w:t>
                              </w:r>
                              <w:r>
                                <w:rPr>
                                  <w:rFonts w:ascii="Arial" w:hAnsi="Arial" w:cs="Arial"/>
                                  <w:b/>
                                  <w:bCs/>
                                  <w:color w:val="1F497D"/>
                                  <w:sz w:val="20"/>
                                  <w:szCs w:val="20"/>
                                </w:rPr>
                                <w:br/>
                                <w:t>Délégué Général FHP-MCO</w:t>
                              </w:r>
                            </w:p>
                          </w:tc>
                        </w:tr>
                      </w:tbl>
                      <w:p w:rsidR="00AC2AB1" w:rsidRDefault="00AC2AB1">
                        <w:pPr>
                          <w:spacing w:after="240"/>
                          <w:rPr>
                            <w:rFonts w:ascii="Arial" w:hAnsi="Arial" w:cs="Arial"/>
                            <w:color w:val="436999"/>
                            <w:sz w:val="20"/>
                            <w:szCs w:val="20"/>
                          </w:rPr>
                        </w:pPr>
                        <w:r>
                          <w:rPr>
                            <w:rFonts w:ascii="Arial" w:hAnsi="Arial" w:cs="Arial"/>
                            <w:color w:val="436999"/>
                            <w:sz w:val="20"/>
                            <w:szCs w:val="20"/>
                          </w:rPr>
                          <w:br/>
                        </w:r>
                        <w:r>
                          <w:rPr>
                            <w:rFonts w:ascii="Arial" w:hAnsi="Arial" w:cs="Arial"/>
                            <w:color w:val="436999"/>
                            <w:sz w:val="20"/>
                            <w:szCs w:val="20"/>
                          </w:rPr>
                          <w:br/>
                        </w:r>
                        <w:r>
                          <w:rPr>
                            <w:rFonts w:ascii="Arial" w:hAnsi="Arial" w:cs="Arial"/>
                            <w:noProof/>
                            <w:color w:val="436999"/>
                            <w:sz w:val="20"/>
                            <w:szCs w:val="20"/>
                          </w:rPr>
                          <w:drawing>
                            <wp:inline distT="0" distB="0" distL="0" distR="0">
                              <wp:extent cx="1905000" cy="571500"/>
                              <wp:effectExtent l="0" t="0" r="0" b="0"/>
                              <wp:docPr id="1" name="Image 1" descr="http://www.fhp.fr/fichiers/20160729123411_BTN_telecharger_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p.fr/fichiers/20160729123411_BTN_telecharger_DPEJ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rsidR="00AC2AB1" w:rsidRDefault="00AC2AB1" w:rsidP="00F67A95">
                        <w:pPr>
                          <w:numPr>
                            <w:ilvl w:val="0"/>
                            <w:numId w:val="1"/>
                          </w:numPr>
                          <w:spacing w:before="100" w:beforeAutospacing="1" w:after="100" w:afterAutospacing="1"/>
                          <w:jc w:val="both"/>
                          <w:rPr>
                            <w:rFonts w:ascii="Arial" w:eastAsia="Times New Roman" w:hAnsi="Arial" w:cs="Arial"/>
                            <w:color w:val="436999"/>
                            <w:sz w:val="20"/>
                            <w:szCs w:val="20"/>
                          </w:rPr>
                        </w:pPr>
                        <w:hyperlink r:id="rId7" w:history="1">
                          <w:r>
                            <w:rPr>
                              <w:rStyle w:val="Lienhypertexte"/>
                              <w:rFonts w:ascii="Arial" w:eastAsia="Times New Roman" w:hAnsi="Arial" w:cs="Arial"/>
                              <w:sz w:val="20"/>
                              <w:szCs w:val="20"/>
                            </w:rPr>
                            <w:t>Guide d'aide à la création des maisons de santé pluri-professionnelles</w:t>
                          </w:r>
                        </w:hyperlink>
                      </w:p>
                      <w:p w:rsidR="00AC2AB1" w:rsidRDefault="00AC2AB1" w:rsidP="00F67A95">
                        <w:pPr>
                          <w:numPr>
                            <w:ilvl w:val="0"/>
                            <w:numId w:val="1"/>
                          </w:numPr>
                          <w:spacing w:before="100" w:beforeAutospacing="1" w:after="100" w:afterAutospacing="1"/>
                          <w:jc w:val="both"/>
                          <w:rPr>
                            <w:rFonts w:ascii="Arial" w:eastAsia="Times New Roman" w:hAnsi="Arial" w:cs="Arial"/>
                            <w:color w:val="436999"/>
                            <w:sz w:val="20"/>
                            <w:szCs w:val="20"/>
                          </w:rPr>
                        </w:pPr>
                        <w:hyperlink r:id="rId8" w:history="1">
                          <w:r>
                            <w:rPr>
                              <w:rStyle w:val="Lienhypertexte"/>
                              <w:rFonts w:ascii="Arial" w:eastAsia="Times New Roman" w:hAnsi="Arial" w:cs="Arial"/>
                              <w:sz w:val="20"/>
                              <w:szCs w:val="20"/>
                            </w:rPr>
                            <w:t>Note de sensibilisation à l'offre de soins de proximité</w:t>
                          </w:r>
                        </w:hyperlink>
                        <w:r>
                          <w:rPr>
                            <w:rFonts w:ascii="Arial" w:eastAsia="Times New Roman" w:hAnsi="Arial" w:cs="Arial"/>
                            <w:color w:val="436999"/>
                            <w:sz w:val="20"/>
                            <w:szCs w:val="20"/>
                          </w:rPr>
                          <w:t xml:space="preserve"> : développement des consultations avancées et des soins non programmés</w:t>
                        </w:r>
                      </w:p>
                    </w:tc>
                  </w:tr>
                </w:tbl>
                <w:p w:rsidR="00AC2AB1" w:rsidRDefault="00AC2AB1">
                  <w:pPr>
                    <w:rPr>
                      <w:rFonts w:eastAsia="Times New Roman"/>
                      <w:sz w:val="20"/>
                      <w:szCs w:val="20"/>
                    </w:rPr>
                  </w:pPr>
                </w:p>
              </w:tc>
            </w:tr>
            <w:tr w:rsidR="00AC2AB1">
              <w:trPr>
                <w:tblCellSpacing w:w="0" w:type="dxa"/>
              </w:trPr>
              <w:tc>
                <w:tcPr>
                  <w:tcW w:w="0" w:type="auto"/>
                  <w:shd w:val="clear" w:color="auto" w:fill="F8F8F8"/>
                  <w:tcMar>
                    <w:top w:w="0" w:type="dxa"/>
                    <w:left w:w="0" w:type="dxa"/>
                    <w:bottom w:w="225" w:type="dxa"/>
                    <w:right w:w="150" w:type="dxa"/>
                  </w:tcMar>
                  <w:vAlign w:val="center"/>
                  <w:hideMark/>
                </w:tcPr>
                <w:p w:rsidR="00AC2AB1" w:rsidRDefault="00AC2AB1">
                  <w:pPr>
                    <w:jc w:val="right"/>
                    <w:rPr>
                      <w:rFonts w:ascii="Arial" w:hAnsi="Arial" w:cs="Arial"/>
                      <w:b/>
                      <w:bCs/>
                      <w:color w:val="013E6A"/>
                      <w:sz w:val="18"/>
                      <w:szCs w:val="18"/>
                    </w:rPr>
                  </w:pPr>
                  <w:r>
                    <w:rPr>
                      <w:rFonts w:ascii="Arial" w:hAnsi="Arial" w:cs="Arial"/>
                      <w:b/>
                      <w:bCs/>
                      <w:color w:val="013E6A"/>
                      <w:sz w:val="18"/>
                      <w:szCs w:val="18"/>
                    </w:rPr>
                    <w:lastRenderedPageBreak/>
                    <w:t> </w:t>
                  </w:r>
                </w:p>
              </w:tc>
            </w:tr>
            <w:tr w:rsidR="00AC2AB1">
              <w:trPr>
                <w:tblCellSpacing w:w="0" w:type="dxa"/>
              </w:trPr>
              <w:tc>
                <w:tcPr>
                  <w:tcW w:w="0" w:type="auto"/>
                  <w:shd w:val="clear" w:color="auto" w:fill="CEE8FD"/>
                  <w:vAlign w:val="center"/>
                  <w:hideMark/>
                </w:tcPr>
                <w:tbl>
                  <w:tblPr>
                    <w:tblW w:w="5000" w:type="pct"/>
                    <w:tblCellSpacing w:w="0" w:type="dxa"/>
                    <w:tblCellMar>
                      <w:left w:w="0" w:type="dxa"/>
                      <w:right w:w="0" w:type="dxa"/>
                    </w:tblCellMar>
                    <w:tblLook w:val="04A0" w:firstRow="1" w:lastRow="0" w:firstColumn="1" w:lastColumn="0" w:noHBand="0" w:noVBand="1"/>
                  </w:tblPr>
                  <w:tblGrid>
                    <w:gridCol w:w="6750"/>
                    <w:gridCol w:w="2250"/>
                  </w:tblGrid>
                  <w:tr w:rsidR="00AC2AB1">
                    <w:trPr>
                      <w:tblCellSpacing w:w="0" w:type="dxa"/>
                    </w:trPr>
                    <w:tc>
                      <w:tcPr>
                        <w:tcW w:w="0" w:type="auto"/>
                        <w:gridSpan w:val="2"/>
                        <w:tcMar>
                          <w:top w:w="0" w:type="dxa"/>
                          <w:left w:w="150" w:type="dxa"/>
                          <w:bottom w:w="150" w:type="dxa"/>
                          <w:right w:w="0" w:type="dxa"/>
                        </w:tcMar>
                        <w:vAlign w:val="center"/>
                        <w:hideMark/>
                      </w:tcPr>
                      <w:p w:rsidR="00AC2AB1" w:rsidRDefault="00AC2AB1">
                        <w:pPr>
                          <w:rPr>
                            <w:rFonts w:ascii="Arial" w:hAnsi="Arial" w:cs="Arial"/>
                            <w:b/>
                            <w:bCs/>
                            <w:color w:val="013E6A"/>
                            <w:sz w:val="18"/>
                            <w:szCs w:val="18"/>
                          </w:rPr>
                        </w:pPr>
                      </w:p>
                    </w:tc>
                  </w:tr>
                  <w:tr w:rsidR="00AC2AB1">
                    <w:trPr>
                      <w:tblCellSpacing w:w="0" w:type="dxa"/>
                    </w:trPr>
                    <w:tc>
                      <w:tcPr>
                        <w:tcW w:w="3750" w:type="pct"/>
                        <w:tcMar>
                          <w:top w:w="0" w:type="dxa"/>
                          <w:left w:w="150" w:type="dxa"/>
                          <w:bottom w:w="150" w:type="dxa"/>
                          <w:right w:w="0" w:type="dxa"/>
                        </w:tcMar>
                        <w:vAlign w:val="center"/>
                        <w:hideMark/>
                      </w:tcPr>
                      <w:p w:rsidR="00AC2AB1" w:rsidRDefault="00AC2AB1">
                        <w:pPr>
                          <w:rPr>
                            <w:rFonts w:ascii="Arial" w:hAnsi="Arial" w:cs="Arial"/>
                            <w:color w:val="013E6A"/>
                            <w:sz w:val="18"/>
                            <w:szCs w:val="18"/>
                          </w:rPr>
                        </w:pPr>
                        <w:r>
                          <w:rPr>
                            <w:rStyle w:val="lev"/>
                            <w:rFonts w:ascii="Arial" w:hAnsi="Arial" w:cs="Arial"/>
                            <w:color w:val="013E6A"/>
                            <w:sz w:val="18"/>
                            <w:szCs w:val="18"/>
                          </w:rPr>
                          <w:t>Contact : Direction de la Prospective Economique, Médicale et Juridique</w:t>
                        </w:r>
                        <w:r>
                          <w:rPr>
                            <w:rFonts w:ascii="Arial" w:hAnsi="Arial" w:cs="Arial"/>
                            <w:color w:val="013E6A"/>
                            <w:sz w:val="18"/>
                            <w:szCs w:val="18"/>
                          </w:rPr>
                          <w:br/>
                        </w:r>
                        <w:r>
                          <w:rPr>
                            <w:rStyle w:val="lev"/>
                            <w:rFonts w:ascii="Arial" w:hAnsi="Arial" w:cs="Arial"/>
                            <w:color w:val="013E6A"/>
                            <w:sz w:val="18"/>
                            <w:szCs w:val="18"/>
                          </w:rPr>
                          <w:t>Marie Claire-VIEZ</w:t>
                        </w:r>
                        <w:r>
                          <w:rPr>
                            <w:rFonts w:ascii="Arial" w:hAnsi="Arial" w:cs="Arial"/>
                            <w:color w:val="013E6A"/>
                            <w:sz w:val="18"/>
                            <w:szCs w:val="18"/>
                          </w:rPr>
                          <w:br/>
                          <w:t xml:space="preserve">Tél : 01 53 83 56 56 - </w:t>
                        </w:r>
                        <w:hyperlink r:id="rId9" w:history="1">
                          <w:r>
                            <w:rPr>
                              <w:rStyle w:val="Lienhypertexte"/>
                              <w:rFonts w:ascii="Arial" w:hAnsi="Arial" w:cs="Arial"/>
                              <w:color w:val="013E6A"/>
                              <w:sz w:val="15"/>
                              <w:szCs w:val="15"/>
                            </w:rPr>
                            <w:t>marieclaire.viez@fhp.fr</w:t>
                          </w:r>
                        </w:hyperlink>
                      </w:p>
                    </w:tc>
                    <w:tc>
                      <w:tcPr>
                        <w:tcW w:w="1250" w:type="pct"/>
                        <w:tcMar>
                          <w:top w:w="0" w:type="dxa"/>
                          <w:left w:w="150" w:type="dxa"/>
                          <w:bottom w:w="300" w:type="dxa"/>
                          <w:right w:w="150" w:type="dxa"/>
                        </w:tcMar>
                        <w:vAlign w:val="bottom"/>
                        <w:hideMark/>
                      </w:tcPr>
                      <w:p w:rsidR="00AC2AB1" w:rsidRDefault="00AC2AB1">
                        <w:pPr>
                          <w:jc w:val="right"/>
                          <w:rPr>
                            <w:rFonts w:ascii="Arial" w:hAnsi="Arial" w:cs="Arial"/>
                            <w:color w:val="013E6A"/>
                            <w:sz w:val="18"/>
                            <w:szCs w:val="18"/>
                          </w:rPr>
                        </w:pPr>
                        <w:hyperlink r:id="rId10" w:history="1">
                          <w:r>
                            <w:rPr>
                              <w:rStyle w:val="Lienhypertexte"/>
                              <w:rFonts w:ascii="Arial" w:hAnsi="Arial" w:cs="Arial"/>
                              <w:color w:val="013E6A"/>
                              <w:sz w:val="15"/>
                              <w:szCs w:val="15"/>
                            </w:rPr>
                            <w:t>Aller sur le site de la FHP</w:t>
                          </w:r>
                        </w:hyperlink>
                      </w:p>
                    </w:tc>
                  </w:tr>
                </w:tbl>
                <w:p w:rsidR="00AC2AB1" w:rsidRDefault="00AC2AB1">
                  <w:pPr>
                    <w:rPr>
                      <w:rFonts w:eastAsia="Times New Roman"/>
                      <w:sz w:val="20"/>
                      <w:szCs w:val="20"/>
                    </w:rPr>
                  </w:pPr>
                </w:p>
              </w:tc>
            </w:tr>
          </w:tbl>
          <w:p w:rsidR="00AC2AB1" w:rsidRDefault="00AC2AB1">
            <w:pPr>
              <w:rPr>
                <w:rFonts w:eastAsia="Times New Roman"/>
                <w:sz w:val="20"/>
                <w:szCs w:val="20"/>
              </w:rPr>
            </w:pPr>
          </w:p>
        </w:tc>
      </w:tr>
    </w:tbl>
    <w:p w:rsidR="005851A9" w:rsidRDefault="005851A9"/>
    <w:sectPr w:rsidR="00585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4F63B1"/>
    <w:multiLevelType w:val="multilevel"/>
    <w:tmpl w:val="A8D8E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AE"/>
    <w:rsid w:val="005851A9"/>
    <w:rsid w:val="00646BAE"/>
    <w:rsid w:val="00AC2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FBC77-8633-4989-820D-FE946ED0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B1"/>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C2AB1"/>
    <w:rPr>
      <w:color w:val="0000FF"/>
      <w:u w:val="single"/>
    </w:rPr>
  </w:style>
  <w:style w:type="character" w:styleId="lev">
    <w:name w:val="Strong"/>
    <w:basedOn w:val="Policepardfaut"/>
    <w:uiPriority w:val="22"/>
    <w:qFormat/>
    <w:rsid w:val="00AC2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p.fr/fichiers/20161219150555_FHP_NOTE_CONSULTATIONS_AVANCES_CSNP.PDF" TargetMode="External"/><Relationship Id="rId3" Type="http://schemas.openxmlformats.org/officeDocument/2006/relationships/settings" Target="settings.xml"/><Relationship Id="rId7" Type="http://schemas.openxmlformats.org/officeDocument/2006/relationships/hyperlink" Target="http://www.fhp.fr/fichiers/20161219150502_FHP_GUIDE_MSP.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hp.fr/" TargetMode="External"/><Relationship Id="rId4" Type="http://schemas.openxmlformats.org/officeDocument/2006/relationships/webSettings" Target="webSettings.xml"/><Relationship Id="rId9" Type="http://schemas.openxmlformats.org/officeDocument/2006/relationships/hyperlink" Target="mailto:marieclaire.viez@fhp.fr?subject=MSP%20et%20offre%20de%20proximit&#2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2441</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2017-01-16T14:21:00Z</dcterms:created>
  <dcterms:modified xsi:type="dcterms:W3CDTF">2017-01-16T14:22:00Z</dcterms:modified>
</cp:coreProperties>
</file>