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7844" w:rsidTr="00E27844">
        <w:trPr>
          <w:tblCellSpacing w:w="0" w:type="dxa"/>
          <w:jc w:val="center"/>
        </w:trPr>
        <w:tc>
          <w:tcPr>
            <w:tcW w:w="0" w:type="auto"/>
            <w:shd w:val="clear" w:color="auto" w:fill="FFFFFF"/>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7844">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7844" w:rsidTr="00E27844">
                          <w:trPr>
                            <w:trHeight w:val="20"/>
                            <w:tblCellSpacing w:w="0" w:type="dxa"/>
                          </w:trPr>
                          <w:tc>
                            <w:tcPr>
                              <w:tcW w:w="0" w:type="auto"/>
                              <w:tcMar>
                                <w:top w:w="450" w:type="dxa"/>
                                <w:left w:w="450" w:type="dxa"/>
                                <w:bottom w:w="450" w:type="dxa"/>
                                <w:right w:w="450" w:type="dxa"/>
                              </w:tcMar>
                            </w:tcPr>
                            <w:p w:rsidR="00E27844" w:rsidRDefault="00E27844" w:rsidP="00E27844">
                              <w:pPr>
                                <w:pStyle w:val="NormalWeb"/>
                                <w:rPr>
                                  <w:color w:val="15406C"/>
                                </w:rPr>
                              </w:pPr>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r w:rsidR="00E27844">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9750"/>
                  </w:tblGrid>
                  <w:tr w:rsidR="00E27844">
                    <w:trPr>
                      <w:tblCellSpacing w:w="0" w:type="dxa"/>
                      <w:jc w:val="center"/>
                    </w:trPr>
                    <w:tc>
                      <w:tcPr>
                        <w:tcW w:w="0" w:type="auto"/>
                        <w:hideMark/>
                      </w:tcPr>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7844">
                          <w:trPr>
                            <w:tblCellSpacing w:w="0" w:type="dxa"/>
                            <w:jc w:val="center"/>
                          </w:trPr>
                          <w:tc>
                            <w:tcPr>
                              <w:tcW w:w="0" w:type="auto"/>
                              <w:hideMark/>
                            </w:tcPr>
                            <w:p w:rsidR="00E27844" w:rsidRDefault="00E27844">
                              <w:pPr>
                                <w:jc w:val="center"/>
                                <w:rPr>
                                  <w:rFonts w:eastAsia="Times New Roman"/>
                                </w:rPr>
                              </w:pPr>
                              <w:r>
                                <w:rPr>
                                  <w:rFonts w:eastAsia="Times New Roman"/>
                                  <w:noProof/>
                                </w:rPr>
                                <w:drawing>
                                  <wp:inline distT="0" distB="0" distL="0" distR="0">
                                    <wp:extent cx="6191250" cy="1838325"/>
                                    <wp:effectExtent l="0" t="0" r="0" b="9525"/>
                                    <wp:docPr id="3" name="Image 3" descr="http://img.news.fhp.fr/66842/tyN3Z4R9e02d6XW7IBNupg/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EEBHAtHwuGEFEGrtsuIEHFsFsBrwEv" descr="http://img.news.fhp.fr/66842/tyN3Z4R9e02d6XW7IBNupg/image_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1838325"/>
                                            </a:xfrm>
                                            <a:prstGeom prst="rect">
                                              <a:avLst/>
                                            </a:prstGeom>
                                            <a:noFill/>
                                            <a:ln>
                                              <a:noFill/>
                                            </a:ln>
                                          </pic:spPr>
                                        </pic:pic>
                                      </a:graphicData>
                                    </a:graphic>
                                  </wp:inline>
                                </w:drawing>
                              </w:r>
                            </w:p>
                          </w:tc>
                        </w:tr>
                      </w:tbl>
                      <w:p w:rsidR="00E27844" w:rsidRDefault="00E27844">
                        <w:pPr>
                          <w:jc w:val="center"/>
                          <w:rPr>
                            <w:rFonts w:eastAsia="Times New Roman"/>
                            <w:sz w:val="20"/>
                            <w:szCs w:val="20"/>
                          </w:rPr>
                        </w:pPr>
                      </w:p>
                    </w:tc>
                  </w:tr>
                </w:tbl>
                <w:p w:rsidR="00E27844" w:rsidRDefault="00E27844">
                  <w:pPr>
                    <w:jc w:val="center"/>
                    <w:rPr>
                      <w:rFonts w:eastAsia="Times New Roman"/>
                      <w:sz w:val="20"/>
                      <w:szCs w:val="20"/>
                    </w:rPr>
                  </w:pPr>
                </w:p>
              </w:tc>
            </w:tr>
          </w:tbl>
          <w:p w:rsidR="00E27844" w:rsidRDefault="00E27844">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7844">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p w:rsidR="00E27844" w:rsidRDefault="00E27844" w:rsidP="00E27844">
                              <w:pPr>
                                <w:tabs>
                                  <w:tab w:val="left" w:pos="6435"/>
                                </w:tabs>
                                <w:rPr>
                                  <w:rFonts w:ascii="Arial" w:eastAsia="Times New Roman" w:hAnsi="Arial" w:cs="Arial"/>
                                  <w:color w:val="15406C"/>
                                  <w:sz w:val="18"/>
                                  <w:szCs w:val="18"/>
                                </w:rPr>
                              </w:pPr>
                              <w:r>
                                <w:rPr>
                                  <w:rStyle w:val="lev"/>
                                  <w:rFonts w:ascii="Arial" w:eastAsia="Times New Roman" w:hAnsi="Arial" w:cs="Arial"/>
                                  <w:color w:val="15406C"/>
                                  <w:sz w:val="18"/>
                                  <w:szCs w:val="18"/>
                                </w:rPr>
                                <w:t>Mardi 18 septembre 2018</w:t>
                              </w:r>
                              <w:r>
                                <w:rPr>
                                  <w:rStyle w:val="lev"/>
                                  <w:rFonts w:ascii="Arial" w:eastAsia="Times New Roman" w:hAnsi="Arial" w:cs="Arial"/>
                                  <w:color w:val="15406C"/>
                                  <w:sz w:val="18"/>
                                  <w:szCs w:val="18"/>
                                </w:rPr>
                                <w:tab/>
                              </w:r>
                              <w:r>
                                <w:rPr>
                                  <w:rFonts w:ascii="Arial" w:eastAsia="Times New Roman" w:hAnsi="Arial" w:cs="Arial"/>
                                  <w:color w:val="15406C"/>
                                  <w:sz w:val="18"/>
                                  <w:szCs w:val="18"/>
                                </w:rPr>
                                <w:br/>
                                <w:t>Réf : 157-2018</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00AFED"/>
                                  <w:sz w:val="21"/>
                                  <w:szCs w:val="21"/>
                                </w:rPr>
                                <w:t>Informations économiques</w:t>
                              </w:r>
                              <w:r>
                                <w:rPr>
                                  <w:rFonts w:ascii="Arial" w:eastAsia="Times New Roman" w:hAnsi="Arial" w:cs="Arial"/>
                                  <w:color w:val="15406C"/>
                                  <w:sz w:val="18"/>
                                  <w:szCs w:val="18"/>
                                </w:rPr>
                                <w:t xml:space="preserve"> </w:t>
                              </w:r>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r w:rsidR="00E27844">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tcMar>
                                <w:top w:w="450" w:type="dxa"/>
                                <w:left w:w="450" w:type="dxa"/>
                                <w:bottom w:w="450" w:type="dxa"/>
                                <w:right w:w="450" w:type="dxa"/>
                              </w:tcMar>
                              <w:hideMark/>
                            </w:tcPr>
                            <w:p w:rsidR="00E27844" w:rsidRDefault="00E27844">
                              <w:pPr>
                                <w:pStyle w:val="NormalWeb"/>
                                <w:jc w:val="center"/>
                                <w:rPr>
                                  <w:rFonts w:ascii="Arial" w:hAnsi="Arial" w:cs="Arial"/>
                                  <w:color w:val="15406C"/>
                                  <w:sz w:val="18"/>
                                  <w:szCs w:val="18"/>
                                </w:rPr>
                              </w:pPr>
                              <w:r>
                                <w:rPr>
                                  <w:rStyle w:val="lev"/>
                                  <w:rFonts w:ascii="Arial" w:hAnsi="Arial" w:cs="Arial"/>
                                  <w:color w:val="FF0000"/>
                                  <w:sz w:val="39"/>
                                  <w:szCs w:val="39"/>
                                </w:rPr>
                                <w:t>Rappel</w:t>
                              </w:r>
                              <w:r>
                                <w:rPr>
                                  <w:rStyle w:val="lev"/>
                                  <w:rFonts w:ascii="Arial" w:hAnsi="Arial" w:cs="Arial"/>
                                  <w:color w:val="15406C"/>
                                  <w:sz w:val="39"/>
                                  <w:szCs w:val="39"/>
                                </w:rPr>
                                <w:t xml:space="preserve"> </w:t>
                              </w:r>
                              <w:bookmarkStart w:id="0" w:name="_GoBack"/>
                              <w:bookmarkEnd w:id="0"/>
                            </w:p>
                            <w:p w:rsidR="00E27844" w:rsidRDefault="00E27844">
                              <w:pPr>
                                <w:pStyle w:val="NormalWeb"/>
                                <w:jc w:val="center"/>
                                <w:rPr>
                                  <w:rFonts w:ascii="Arial" w:hAnsi="Arial" w:cs="Arial"/>
                                  <w:color w:val="15406C"/>
                                  <w:sz w:val="18"/>
                                  <w:szCs w:val="18"/>
                                </w:rPr>
                              </w:pPr>
                              <w:r>
                                <w:rPr>
                                  <w:rStyle w:val="lev"/>
                                  <w:rFonts w:ascii="Arial" w:hAnsi="Arial" w:cs="Arial"/>
                                  <w:color w:val="15406C"/>
                                  <w:sz w:val="39"/>
                                  <w:szCs w:val="39"/>
                                </w:rPr>
                                <w:t>Aide financière aux établissements en difficulté</w:t>
                              </w:r>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bl>
          <w:p w:rsidR="00E27844" w:rsidRDefault="00E27844">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7844">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p w:rsidR="00E27844" w:rsidRDefault="00E27844">
                              <w:pPr>
                                <w:rPr>
                                  <w:rFonts w:ascii="Arial" w:eastAsia="Times New Roman" w:hAnsi="Arial" w:cs="Arial"/>
                                  <w:color w:val="15406C"/>
                                  <w:sz w:val="18"/>
                                  <w:szCs w:val="18"/>
                                </w:rPr>
                              </w:pPr>
                              <w:r>
                                <w:rPr>
                                  <w:rStyle w:val="lev"/>
                                  <w:rFonts w:ascii="Arial" w:eastAsia="Times New Roman" w:hAnsi="Arial" w:cs="Arial"/>
                                  <w:color w:val="15406C"/>
                                  <w:sz w:val="27"/>
                                  <w:szCs w:val="27"/>
                                </w:rPr>
                                <w:t xml:space="preserve">________________________________________ </w:t>
                              </w:r>
                              <w:r>
                                <w:rPr>
                                  <w:rFonts w:ascii="Arial" w:eastAsia="Times New Roman" w:hAnsi="Arial" w:cs="Arial"/>
                                  <w:color w:val="15406C"/>
                                  <w:sz w:val="18"/>
                                  <w:szCs w:val="18"/>
                                </w:rPr>
                                <w:br/>
                                <w:t> </w:t>
                              </w:r>
                              <w:r>
                                <w:rPr>
                                  <w:rFonts w:ascii="Arial" w:eastAsia="Times New Roman" w:hAnsi="Arial" w:cs="Arial"/>
                                  <w:color w:val="15406C"/>
                                  <w:sz w:val="18"/>
                                  <w:szCs w:val="18"/>
                                </w:rPr>
                                <w:br/>
                              </w:r>
                              <w:r>
                                <w:rPr>
                                  <w:rStyle w:val="lev"/>
                                  <w:rFonts w:ascii="Arial" w:eastAsia="Times New Roman" w:hAnsi="Arial" w:cs="Arial"/>
                                  <w:color w:val="15406C"/>
                                  <w:sz w:val="27"/>
                                  <w:szCs w:val="27"/>
                                </w:rPr>
                                <w:t xml:space="preserve">L'essentiel à retenir : </w:t>
                              </w:r>
                              <w:r>
                                <w:rPr>
                                  <w:rFonts w:ascii="Arial" w:eastAsia="Times New Roman" w:hAnsi="Arial" w:cs="Arial"/>
                                  <w:color w:val="15406C"/>
                                  <w:sz w:val="18"/>
                                  <w:szCs w:val="18"/>
                                </w:rPr>
                                <w:br/>
                                <w:t> </w:t>
                              </w:r>
                            </w:p>
                            <w:p w:rsidR="00E27844" w:rsidRDefault="00E27844">
                              <w:pPr>
                                <w:pStyle w:val="NormalWeb"/>
                                <w:jc w:val="both"/>
                                <w:rPr>
                                  <w:rFonts w:ascii="Arial" w:hAnsi="Arial" w:cs="Arial"/>
                                  <w:color w:val="15406C"/>
                                  <w:sz w:val="18"/>
                                  <w:szCs w:val="18"/>
                                </w:rPr>
                              </w:pPr>
                              <w:r>
                                <w:rPr>
                                  <w:rStyle w:val="lev"/>
                                  <w:rFonts w:ascii="Arial" w:hAnsi="Arial" w:cs="Arial"/>
                                  <w:color w:val="15406C"/>
                                  <w:sz w:val="27"/>
                                  <w:szCs w:val="27"/>
                                </w:rPr>
                                <w:t xml:space="preserve">• La FHP anticipe la démarche « établissements en difficulté » afin de pouvoir engager les discussions avec les pouvoirs publics dès la rentrée ; </w:t>
                              </w:r>
                            </w:p>
                            <w:p w:rsidR="00E27844" w:rsidRDefault="00E27844">
                              <w:pPr>
                                <w:pStyle w:val="NormalWeb"/>
                                <w:jc w:val="both"/>
                                <w:rPr>
                                  <w:rFonts w:ascii="Arial" w:hAnsi="Arial" w:cs="Arial"/>
                                  <w:color w:val="15406C"/>
                                  <w:sz w:val="18"/>
                                  <w:szCs w:val="18"/>
                                </w:rPr>
                              </w:pPr>
                              <w:r>
                                <w:rPr>
                                  <w:rStyle w:val="lev"/>
                                  <w:rFonts w:ascii="Arial" w:hAnsi="Arial" w:cs="Arial"/>
                                  <w:color w:val="15406C"/>
                                  <w:sz w:val="27"/>
                                  <w:szCs w:val="27"/>
                                </w:rPr>
                                <w:t xml:space="preserve">• Il faut justifier un </w:t>
                              </w:r>
                              <w:r>
                                <w:rPr>
                                  <w:rStyle w:val="lev"/>
                                  <w:rFonts w:ascii="Arial" w:hAnsi="Arial" w:cs="Arial"/>
                                  <w:color w:val="339966"/>
                                  <w:sz w:val="27"/>
                                  <w:szCs w:val="27"/>
                                </w:rPr>
                                <w:t xml:space="preserve">résultat courant avant impôts </w:t>
                              </w:r>
                              <w:r>
                                <w:rPr>
                                  <w:rStyle w:val="lev"/>
                                  <w:rFonts w:ascii="Arial" w:hAnsi="Arial" w:cs="Arial"/>
                                  <w:color w:val="339966"/>
                                  <w:sz w:val="27"/>
                                  <w:szCs w:val="27"/>
                                  <w:u w:val="single"/>
                                </w:rPr>
                                <w:t>négatif</w:t>
                              </w:r>
                              <w:r>
                                <w:rPr>
                                  <w:rStyle w:val="lev"/>
                                  <w:rFonts w:ascii="Arial" w:hAnsi="Arial" w:cs="Arial"/>
                                  <w:color w:val="15406C"/>
                                  <w:sz w:val="27"/>
                                  <w:szCs w:val="27"/>
                                </w:rPr>
                                <w:t xml:space="preserve"> au titre de l’année 2017 (nous recommandons de joindre au dossier les tableaux 2052 et 2053 de la liasse fiscale) ; </w:t>
                              </w:r>
                            </w:p>
                            <w:p w:rsidR="00E27844" w:rsidRDefault="00E27844">
                              <w:pPr>
                                <w:pStyle w:val="NormalWeb"/>
                                <w:jc w:val="both"/>
                                <w:rPr>
                                  <w:rFonts w:ascii="Arial" w:hAnsi="Arial" w:cs="Arial"/>
                                  <w:color w:val="15406C"/>
                                  <w:sz w:val="18"/>
                                  <w:szCs w:val="18"/>
                                </w:rPr>
                              </w:pPr>
                              <w:r>
                                <w:rPr>
                                  <w:rStyle w:val="lev"/>
                                  <w:rFonts w:ascii="Arial" w:hAnsi="Arial" w:cs="Arial"/>
                                  <w:color w:val="15406C"/>
                                  <w:sz w:val="27"/>
                                  <w:szCs w:val="27"/>
                                </w:rPr>
                                <w:t xml:space="preserve">• La FHP met à disposition des cliniques en difficulté un kit de sollicitation d’aides exceptionnelles auprès de leur agence régionale de santé (ARS). </w:t>
                              </w:r>
                            </w:p>
                            <w:p w:rsidR="00E27844" w:rsidRDefault="00E27844">
                              <w:pPr>
                                <w:rPr>
                                  <w:rFonts w:ascii="Arial" w:eastAsia="Times New Roman" w:hAnsi="Arial" w:cs="Arial"/>
                                  <w:color w:val="15406C"/>
                                  <w:sz w:val="18"/>
                                  <w:szCs w:val="18"/>
                                </w:rPr>
                              </w:pPr>
                              <w:r>
                                <w:rPr>
                                  <w:rStyle w:val="lev"/>
                                  <w:rFonts w:ascii="Arial" w:eastAsia="Times New Roman" w:hAnsi="Arial" w:cs="Arial"/>
                                  <w:color w:val="15406C"/>
                                  <w:sz w:val="27"/>
                                  <w:szCs w:val="27"/>
                                </w:rPr>
                                <w:t xml:space="preserve">________________________________________ </w:t>
                              </w:r>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r w:rsidR="00E27844">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tcMar>
                                <w:top w:w="120" w:type="dxa"/>
                                <w:left w:w="120" w:type="dxa"/>
                                <w:bottom w:w="120" w:type="dxa"/>
                                <w:right w:w="120" w:type="dxa"/>
                              </w:tcMar>
                              <w:hideMark/>
                            </w:tcPr>
                            <w:p w:rsidR="00E27844" w:rsidRDefault="00E27844">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bl>
          <w:p w:rsidR="00E27844" w:rsidRDefault="00E27844">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7844">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p w:rsidR="00E27844" w:rsidRDefault="00E27844">
                              <w:pPr>
                                <w:pStyle w:val="NormalWeb"/>
                                <w:jc w:val="both"/>
                                <w:rPr>
                                  <w:rFonts w:ascii="Arial" w:hAnsi="Arial" w:cs="Arial"/>
                                  <w:color w:val="15406C"/>
                                  <w:sz w:val="18"/>
                                  <w:szCs w:val="18"/>
                                </w:rPr>
                              </w:pPr>
                              <w:r>
                                <w:rPr>
                                  <w:rFonts w:ascii="Arial" w:hAnsi="Arial" w:cs="Arial"/>
                                  <w:color w:val="15406C"/>
                                  <w:sz w:val="21"/>
                                  <w:szCs w:val="21"/>
                                </w:rPr>
                                <w:t>Chère Adhérente, Cher Adhérent,</w:t>
                              </w:r>
                            </w:p>
                            <w:p w:rsidR="00E27844" w:rsidRDefault="00E27844">
                              <w:pPr>
                                <w:pStyle w:val="NormalWeb"/>
                                <w:jc w:val="both"/>
                                <w:rPr>
                                  <w:rFonts w:ascii="Arial" w:hAnsi="Arial" w:cs="Arial"/>
                                  <w:color w:val="15406C"/>
                                  <w:sz w:val="18"/>
                                  <w:szCs w:val="18"/>
                                </w:rPr>
                              </w:pPr>
                              <w:r>
                                <w:rPr>
                                  <w:rFonts w:ascii="Arial" w:hAnsi="Arial" w:cs="Arial"/>
                                  <w:color w:val="15406C"/>
                                  <w:sz w:val="18"/>
                                  <w:szCs w:val="18"/>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Les six dernières campagnes tarifaires ont durement touché notre secteur en imposant des baisses tarifaires pour toutes les spécialités. Nos établissements se trouvent ainsi privés, pour conduire leurs actions d’adaptation à l’offre de soins, des leviers offerts à l’ensemble des autres acteurs de l’économie.</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Dans ce contexte, la FHP alerte régulièrement le ministère de la santé sur les impacts de cette situation pour les établissements les plus fragiles et le risque de déstabilisation de l’offre de soins qui pourrait en résulter dans les territoires. La démarche « établissements en difficulté » a débuté en 2016 et nous avons pu obtenir une aide de 10 M€ à destination de notre secteur cette année-là. L’année dernière, nous sommes parvenus à débloquer une enveloppe de 7 M€.</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xml:space="preserve">Bien que ce type d’initiative ne soit pas habituel dans notre secteur, et même si rien n’est acquis à ce jour, </w:t>
                              </w:r>
                              <w:r>
                                <w:rPr>
                                  <w:rStyle w:val="lev"/>
                                  <w:rFonts w:ascii="Arial" w:hAnsi="Arial" w:cs="Arial"/>
                                  <w:color w:val="339966"/>
                                  <w:sz w:val="21"/>
                                  <w:szCs w:val="21"/>
                                </w:rPr>
                                <w:t>j’invite les établissements concernés à solliciter de nouveau cette année une aide exceptionnelle auprès de leur ARS</w:t>
                              </w:r>
                              <w:r>
                                <w:rPr>
                                  <w:rFonts w:ascii="Arial" w:hAnsi="Arial" w:cs="Arial"/>
                                  <w:color w:val="15406C"/>
                                  <w:sz w:val="21"/>
                                  <w:szCs w:val="21"/>
                                </w:rPr>
                                <w:t>. Cette aide est non reconductible et il convient de préciser dans la demande si l’établissement a déjà reçu, ou non, en 2016, ou 2017 (incluant début 2018) une aide exceptionnelle.</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xml:space="preserve">Les cliniques et hôpitaux privés sont en effet éligibles en principe et en droit à un accompagnement financier ponctuel dans leur retour à l’équilibre et leurs difficultés de trésorerie, sous forme de </w:t>
                              </w:r>
                              <w:r>
                                <w:rPr>
                                  <w:rStyle w:val="lev"/>
                                  <w:rFonts w:ascii="Arial" w:hAnsi="Arial" w:cs="Arial"/>
                                  <w:color w:val="15406C"/>
                                  <w:sz w:val="21"/>
                                  <w:szCs w:val="21"/>
                                </w:rPr>
                                <w:t>crédits AC pour les établissements MCO, et FIR pour les établissements SSR ou Psychiatriques.</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xml:space="preserve">Pour vous accompagner au mieux dans cette démarche, la FHP met à votre disposition un </w:t>
                              </w:r>
                              <w:hyperlink r:id="rId5" w:history="1">
                                <w:r>
                                  <w:rPr>
                                    <w:rStyle w:val="Lienhypertexte"/>
                                    <w:rFonts w:ascii="Arial" w:hAnsi="Arial" w:cs="Arial"/>
                                    <w:b/>
                                    <w:bCs/>
                                    <w:color w:val="3E21FF"/>
                                    <w:sz w:val="21"/>
                                    <w:szCs w:val="21"/>
                                  </w:rPr>
                                  <w:t>kit méthodologique</w:t>
                                </w:r>
                              </w:hyperlink>
                              <w:r>
                                <w:rPr>
                                  <w:rFonts w:ascii="Arial" w:hAnsi="Arial" w:cs="Arial"/>
                                  <w:color w:val="15406C"/>
                                  <w:sz w:val="21"/>
                                  <w:szCs w:val="21"/>
                                </w:rPr>
                                <w:t xml:space="preserve"> composé d’un modèle de courrier à l’attention de votre ARS et d’une note-type d’alerte sur la situation de l’établissement à joindre au courrier. Les établissements en difficulté sont invités à se saisir du kit d’accompagnement proposé en téléchargement pour solliciter l’aide exceptionnelle de leur ARS (nous vous recommandons un envoi postal avec accusé de réception ainsi qu’un e-mail).</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xml:space="preserve">Afin d'obtenir une mise en œuvre dans le cadre de l'exercice 2018, il est essentiel de disposer d'un nombre significatif de dossiers, en prévision de contacts avec le ministère à la rentrée. </w:t>
                              </w:r>
                              <w:r>
                                <w:rPr>
                                  <w:rStyle w:val="lev"/>
                                  <w:rFonts w:ascii="Arial" w:hAnsi="Arial" w:cs="Arial"/>
                                  <w:color w:val="339966"/>
                                  <w:sz w:val="21"/>
                                  <w:szCs w:val="21"/>
                                </w:rPr>
                                <w:t xml:space="preserve">Aussi, une première consolidation de vos réponses </w:t>
                              </w:r>
                              <w:r>
                                <w:rPr>
                                  <w:rStyle w:val="lev"/>
                                  <w:rFonts w:ascii="Arial" w:hAnsi="Arial" w:cs="Arial"/>
                                  <w:color w:val="339966"/>
                                  <w:sz w:val="21"/>
                                  <w:szCs w:val="21"/>
                                  <w:u w:val="single"/>
                                </w:rPr>
                                <w:t>interviendra le 5 octobre 2018.</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 </w:t>
                              </w:r>
                            </w:p>
                            <w:p w:rsidR="00E27844" w:rsidRDefault="00E27844">
                              <w:pPr>
                                <w:pStyle w:val="NormalWeb"/>
                                <w:jc w:val="both"/>
                                <w:rPr>
                                  <w:rFonts w:ascii="Arial" w:hAnsi="Arial" w:cs="Arial"/>
                                  <w:color w:val="15406C"/>
                                  <w:sz w:val="18"/>
                                  <w:szCs w:val="18"/>
                                </w:rPr>
                              </w:pPr>
                              <w:r>
                                <w:rPr>
                                  <w:rStyle w:val="lev"/>
                                  <w:rFonts w:ascii="Arial" w:hAnsi="Arial" w:cs="Arial"/>
                                  <w:color w:val="15406C"/>
                                  <w:sz w:val="21"/>
                                  <w:szCs w:val="21"/>
                                </w:rPr>
                                <w:t>La FHP met en place, en coordination avec les délégations régionales FHP, un dispositif de suivi des dossiers</w:t>
                              </w:r>
                              <w:r>
                                <w:rPr>
                                  <w:rFonts w:ascii="Arial" w:hAnsi="Arial" w:cs="Arial"/>
                                  <w:color w:val="15406C"/>
                                  <w:sz w:val="21"/>
                                  <w:szCs w:val="21"/>
                                </w:rPr>
                                <w:t xml:space="preserve"> afin de coordonner nos actions au niveau national et régional. Pour ce faire, les établissements concernés sont invités à mettre en copie de leur e-mail à leur ARS leur </w:t>
                              </w:r>
                              <w:r>
                                <w:rPr>
                                  <w:rStyle w:val="lev"/>
                                  <w:rFonts w:ascii="Arial" w:hAnsi="Arial" w:cs="Arial"/>
                                  <w:color w:val="15406C"/>
                                  <w:sz w:val="21"/>
                                  <w:szCs w:val="21"/>
                                </w:rPr>
                                <w:t>syndicat régional et la FHP</w:t>
                              </w:r>
                              <w:r>
                                <w:rPr>
                                  <w:rFonts w:ascii="Arial" w:hAnsi="Arial" w:cs="Arial"/>
                                  <w:color w:val="15406C"/>
                                  <w:sz w:val="21"/>
                                  <w:szCs w:val="21"/>
                                </w:rPr>
                                <w:t xml:space="preserve"> (</w:t>
                              </w:r>
                              <w:hyperlink r:id="rId6" w:history="1">
                                <w:r>
                                  <w:rPr>
                                    <w:rStyle w:val="Lienhypertexte"/>
                                    <w:rFonts w:ascii="Arial" w:hAnsi="Arial" w:cs="Arial"/>
                                    <w:color w:val="3E21FF"/>
                                    <w:sz w:val="21"/>
                                    <w:szCs w:val="21"/>
                                  </w:rPr>
                                  <w:t>guilherme.pontes@fhp.fr</w:t>
                                </w:r>
                              </w:hyperlink>
                              <w:r>
                                <w:rPr>
                                  <w:rFonts w:ascii="Arial" w:hAnsi="Arial" w:cs="Arial"/>
                                  <w:color w:val="15406C"/>
                                  <w:sz w:val="21"/>
                                  <w:szCs w:val="21"/>
                                </w:rPr>
                                <w:t xml:space="preserve"> et </w:t>
                              </w:r>
                              <w:hyperlink r:id="rId7" w:history="1">
                                <w:r>
                                  <w:rPr>
                                    <w:rStyle w:val="Lienhypertexte"/>
                                    <w:rFonts w:ascii="Arial" w:hAnsi="Arial" w:cs="Arial"/>
                                    <w:color w:val="3E21FF"/>
                                    <w:sz w:val="21"/>
                                    <w:szCs w:val="21"/>
                                  </w:rPr>
                                  <w:t>remi.germain@fhp.fr</w:t>
                                </w:r>
                              </w:hyperlink>
                              <w:r>
                                <w:rPr>
                                  <w:rFonts w:ascii="Arial" w:hAnsi="Arial" w:cs="Arial"/>
                                  <w:color w:val="15406C"/>
                                  <w:sz w:val="21"/>
                                  <w:szCs w:val="21"/>
                                </w:rPr>
                                <w:t>).</w:t>
                              </w:r>
                            </w:p>
                            <w:p w:rsidR="00E27844" w:rsidRDefault="00E27844">
                              <w:pPr>
                                <w:pStyle w:val="NormalWeb"/>
                                <w:jc w:val="both"/>
                                <w:rPr>
                                  <w:rFonts w:ascii="Arial" w:hAnsi="Arial" w:cs="Arial"/>
                                  <w:color w:val="15406C"/>
                                  <w:sz w:val="18"/>
                                  <w:szCs w:val="18"/>
                                </w:rPr>
                              </w:pPr>
                              <w:r>
                                <w:rPr>
                                  <w:rFonts w:ascii="Arial" w:hAnsi="Arial" w:cs="Arial"/>
                                  <w:color w:val="15406C"/>
                                  <w:sz w:val="18"/>
                                  <w:szCs w:val="18"/>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J’appelle votre attention sur le fait que des aides versées ont toujours pour contrepartie la poursuite des actions de redressement des établissements concernés. Par ailleurs, les ARS seront attentives au fait que les charges soient réglées à échéance, notamment sociales, en particulier salariales.</w:t>
                              </w:r>
                            </w:p>
                            <w:p w:rsidR="00E27844" w:rsidRDefault="00E27844">
                              <w:pPr>
                                <w:pStyle w:val="NormalWeb"/>
                                <w:jc w:val="both"/>
                                <w:rPr>
                                  <w:rFonts w:ascii="Arial" w:hAnsi="Arial" w:cs="Arial"/>
                                  <w:color w:val="15406C"/>
                                  <w:sz w:val="18"/>
                                  <w:szCs w:val="18"/>
                                </w:rPr>
                              </w:pPr>
                              <w:r>
                                <w:rPr>
                                  <w:rFonts w:ascii="Arial" w:hAnsi="Arial" w:cs="Arial"/>
                                  <w:color w:val="15406C"/>
                                  <w:sz w:val="18"/>
                                  <w:szCs w:val="18"/>
                                </w:rPr>
                                <w:t> </w:t>
                              </w:r>
                            </w:p>
                            <w:p w:rsidR="00E27844" w:rsidRDefault="00E27844">
                              <w:pPr>
                                <w:pStyle w:val="NormalWeb"/>
                                <w:jc w:val="both"/>
                                <w:rPr>
                                  <w:rFonts w:ascii="Arial" w:hAnsi="Arial" w:cs="Arial"/>
                                  <w:color w:val="15406C"/>
                                  <w:sz w:val="18"/>
                                  <w:szCs w:val="18"/>
                                </w:rPr>
                              </w:pPr>
                              <w:r>
                                <w:rPr>
                                  <w:rFonts w:ascii="Arial" w:hAnsi="Arial" w:cs="Arial"/>
                                  <w:color w:val="15406C"/>
                                  <w:sz w:val="21"/>
                                  <w:szCs w:val="21"/>
                                </w:rPr>
                                <w:t>Je vous prie d'agréer, Chère Adhérente, Cher Adhérent, mes salutations amicales et dévouées.</w:t>
                              </w:r>
                              <w:r>
                                <w:rPr>
                                  <w:rFonts w:ascii="Arial" w:hAnsi="Arial" w:cs="Arial"/>
                                  <w:color w:val="15406C"/>
                                  <w:sz w:val="18"/>
                                  <w:szCs w:val="18"/>
                                </w:rPr>
                                <w:t xml:space="preserve"> </w:t>
                              </w:r>
                            </w:p>
                            <w:p w:rsidR="00E27844" w:rsidRDefault="00E27844">
                              <w:pPr>
                                <w:pStyle w:val="NormalWeb"/>
                                <w:jc w:val="both"/>
                                <w:rPr>
                                  <w:rFonts w:ascii="Arial" w:hAnsi="Arial" w:cs="Arial"/>
                                  <w:color w:val="15406C"/>
                                  <w:sz w:val="18"/>
                                  <w:szCs w:val="18"/>
                                </w:rPr>
                              </w:pPr>
                              <w:r>
                                <w:rPr>
                                  <w:rFonts w:ascii="Arial" w:hAnsi="Arial" w:cs="Arial"/>
                                  <w:color w:val="15406C"/>
                                  <w:sz w:val="18"/>
                                  <w:szCs w:val="18"/>
                                </w:rPr>
                                <w:t> </w:t>
                              </w:r>
                            </w:p>
                            <w:p w:rsidR="00E27844" w:rsidRDefault="00E27844">
                              <w:pPr>
                                <w:rPr>
                                  <w:rFonts w:ascii="Arial" w:eastAsia="Times New Roman" w:hAnsi="Arial" w:cs="Arial"/>
                                  <w:color w:val="15406C"/>
                                  <w:sz w:val="18"/>
                                  <w:szCs w:val="18"/>
                                </w:rPr>
                              </w:pPr>
                              <w:r>
                                <w:rPr>
                                  <w:rFonts w:ascii="Arial" w:eastAsia="Times New Roman" w:hAnsi="Arial" w:cs="Arial"/>
                                  <w:color w:val="15406C"/>
                                  <w:sz w:val="21"/>
                                  <w:szCs w:val="21"/>
                                </w:rPr>
                                <w:t> </w:t>
                              </w:r>
                              <w:r>
                                <w:rPr>
                                  <w:rFonts w:ascii="Arial" w:eastAsia="Times New Roman" w:hAnsi="Arial" w:cs="Arial"/>
                                  <w:color w:val="15406C"/>
                                  <w:sz w:val="21"/>
                                  <w:szCs w:val="21"/>
                                </w:rPr>
                                <w:br/>
                              </w:r>
                              <w:r>
                                <w:rPr>
                                  <w:rStyle w:val="lev"/>
                                  <w:rFonts w:ascii="Arial" w:eastAsia="Times New Roman" w:hAnsi="Arial" w:cs="Arial"/>
                                  <w:color w:val="15406C"/>
                                  <w:sz w:val="21"/>
                                  <w:szCs w:val="21"/>
                                </w:rPr>
                                <w:t xml:space="preserve">Lamine Gharbi, </w:t>
                              </w:r>
                              <w:r>
                                <w:rPr>
                                  <w:rFonts w:ascii="Arial" w:eastAsia="Times New Roman" w:hAnsi="Arial" w:cs="Arial"/>
                                  <w:color w:val="15406C"/>
                                  <w:sz w:val="18"/>
                                  <w:szCs w:val="18"/>
                                </w:rPr>
                                <w:br/>
                              </w:r>
                              <w:r>
                                <w:rPr>
                                  <w:rFonts w:ascii="Arial" w:eastAsia="Times New Roman" w:hAnsi="Arial" w:cs="Arial"/>
                                  <w:color w:val="15406C"/>
                                  <w:sz w:val="21"/>
                                  <w:szCs w:val="21"/>
                                </w:rPr>
                                <w:t xml:space="preserve">Président </w:t>
                              </w:r>
                              <w:r>
                                <w:rPr>
                                  <w:rFonts w:ascii="Arial" w:eastAsia="Times New Roman" w:hAnsi="Arial" w:cs="Arial"/>
                                  <w:color w:val="15406C"/>
                                  <w:sz w:val="21"/>
                                  <w:szCs w:val="21"/>
                                </w:rPr>
                                <w:br/>
                              </w:r>
                              <w:r>
                                <w:rPr>
                                  <w:rFonts w:ascii="Arial" w:eastAsia="Times New Roman" w:hAnsi="Arial" w:cs="Arial"/>
                                  <w:color w:val="15406C"/>
                                  <w:sz w:val="18"/>
                                  <w:szCs w:val="18"/>
                                </w:rPr>
                                <w:br/>
                              </w:r>
                              <w:r>
                                <w:rPr>
                                  <w:rFonts w:ascii="Arial" w:eastAsia="Times New Roman" w:hAnsi="Arial" w:cs="Arial"/>
                                  <w:color w:val="15406C"/>
                                  <w:sz w:val="21"/>
                                  <w:szCs w:val="21"/>
                                </w:rPr>
                                <w:br/>
                              </w:r>
                              <w:r>
                                <w:rPr>
                                  <w:rFonts w:ascii="Arial" w:eastAsia="Times New Roman" w:hAnsi="Arial" w:cs="Arial"/>
                                  <w:noProof/>
                                  <w:color w:val="15406C"/>
                                  <w:sz w:val="21"/>
                                  <w:szCs w:val="21"/>
                                </w:rPr>
                                <w:drawing>
                                  <wp:inline distT="0" distB="0" distL="0" distR="0">
                                    <wp:extent cx="1857375" cy="542925"/>
                                    <wp:effectExtent l="0" t="0" r="9525" b="9525"/>
                                    <wp:docPr id="2" name="Image 2" descr="http://img.news.fhp.fr/66842/tyN3Z4R9e02d6XW7IBNupg/BTN-%C3%A0%20t%C3%A9l%C3%A9charger%20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wGCvCuECCtEsuvsuuEGDrsJwHtGwrr" descr="http://img.news.fhp.fr/66842/tyN3Z4R9e02d6XW7IBNupg/BTN-%C3%A0%20t%C3%A9l%C3%A9charger%20DPEJ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542925"/>
                                            </a:xfrm>
                                            <a:prstGeom prst="rect">
                                              <a:avLst/>
                                            </a:prstGeom>
                                            <a:noFill/>
                                            <a:ln>
                                              <a:noFill/>
                                            </a:ln>
                                          </pic:spPr>
                                        </pic:pic>
                                      </a:graphicData>
                                    </a:graphic>
                                  </wp:inline>
                                </w:drawing>
                              </w:r>
                              <w:r>
                                <w:rPr>
                                  <w:rFonts w:ascii="Arial" w:eastAsia="Times New Roman" w:hAnsi="Arial" w:cs="Arial"/>
                                  <w:color w:val="15406C"/>
                                  <w:sz w:val="21"/>
                                  <w:szCs w:val="21"/>
                                </w:rPr>
                                <w:br/>
                              </w:r>
                              <w:r>
                                <w:rPr>
                                  <w:rFonts w:ascii="Arial" w:eastAsia="Times New Roman" w:hAnsi="Arial" w:cs="Arial"/>
                                  <w:color w:val="15406C"/>
                                  <w:sz w:val="18"/>
                                  <w:szCs w:val="18"/>
                                </w:rPr>
                                <w:br/>
                              </w:r>
                              <w:r>
                                <w:rPr>
                                  <w:rFonts w:ascii="Arial" w:eastAsia="Times New Roman" w:hAnsi="Arial" w:cs="Arial"/>
                                  <w:color w:val="15406C"/>
                                  <w:sz w:val="21"/>
                                  <w:szCs w:val="21"/>
                                </w:rPr>
                                <w:t xml:space="preserve">• </w:t>
                              </w:r>
                              <w:hyperlink r:id="rId9" w:history="1">
                                <w:r>
                                  <w:rPr>
                                    <w:rStyle w:val="Lienhypertexte"/>
                                    <w:rFonts w:ascii="Arial" w:eastAsia="Times New Roman" w:hAnsi="Arial" w:cs="Arial"/>
                                    <w:color w:val="3E21FF"/>
                                    <w:sz w:val="21"/>
                                    <w:szCs w:val="21"/>
                                  </w:rPr>
                                  <w:t>Kit d'accompagnement des établissements en difficulté</w:t>
                                </w:r>
                              </w:hyperlink>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r w:rsidR="00E27844">
              <w:trPr>
                <w:tblCellSpacing w:w="0" w:type="dxa"/>
                <w:jc w:val="center"/>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hideMark/>
                      </w:tcPr>
                      <w:tbl>
                        <w:tblPr>
                          <w:tblpPr w:vertAnchor="text"/>
                          <w:tblW w:w="9750" w:type="dxa"/>
                          <w:tblCellSpacing w:w="0" w:type="dxa"/>
                          <w:tblCellMar>
                            <w:left w:w="0" w:type="dxa"/>
                            <w:right w:w="0" w:type="dxa"/>
                          </w:tblCellMar>
                          <w:tblLook w:val="04A0" w:firstRow="1" w:lastRow="0" w:firstColumn="1" w:lastColumn="0" w:noHBand="0" w:noVBand="1"/>
                        </w:tblPr>
                        <w:tblGrid>
                          <w:gridCol w:w="9750"/>
                        </w:tblGrid>
                        <w:tr w:rsidR="00E27844">
                          <w:trPr>
                            <w:tblCellSpacing w:w="0" w:type="dxa"/>
                          </w:trPr>
                          <w:tc>
                            <w:tcPr>
                              <w:tcW w:w="0" w:type="auto"/>
                              <w:tcMar>
                                <w:top w:w="120" w:type="dxa"/>
                                <w:left w:w="120" w:type="dxa"/>
                                <w:bottom w:w="120" w:type="dxa"/>
                                <w:right w:w="120" w:type="dxa"/>
                              </w:tcMar>
                              <w:hideMark/>
                            </w:tcPr>
                            <w:p w:rsidR="00E27844" w:rsidRDefault="00E27844">
                              <w:pPr>
                                <w:rPr>
                                  <w:rFonts w:ascii="Arial" w:eastAsia="Times New Roman" w:hAnsi="Arial" w:cs="Arial"/>
                                  <w:color w:val="15406C"/>
                                  <w:sz w:val="18"/>
                                  <w:szCs w:val="18"/>
                                </w:rPr>
                              </w:pPr>
                              <w:r>
                                <w:rPr>
                                  <w:rFonts w:ascii="Arial" w:eastAsia="Times New Roman" w:hAnsi="Arial" w:cs="Arial"/>
                                  <w:color w:val="15406C"/>
                                  <w:sz w:val="18"/>
                                  <w:szCs w:val="18"/>
                                </w:rPr>
                                <w:t> </w:t>
                              </w:r>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bl>
          <w:p w:rsidR="00E27844" w:rsidRDefault="00E27844">
            <w:pPr>
              <w:rPr>
                <w:rFonts w:eastAsia="Times New Roman"/>
                <w:vanish/>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27844">
              <w:trPr>
                <w:tblCellSpacing w:w="0" w:type="dxa"/>
                <w:jc w:val="center"/>
              </w:trPr>
              <w:tc>
                <w:tcPr>
                  <w:tcW w:w="0" w:type="auto"/>
                  <w:shd w:val="clear" w:color="auto" w:fill="CEE9FD"/>
                  <w:hideMark/>
                </w:tcPr>
                <w:tbl>
                  <w:tblPr>
                    <w:tblW w:w="0" w:type="auto"/>
                    <w:tblCellSpacing w:w="0" w:type="dxa"/>
                    <w:tblCellMar>
                      <w:left w:w="0" w:type="dxa"/>
                      <w:right w:w="0" w:type="dxa"/>
                    </w:tblCellMar>
                    <w:tblLook w:val="04A0" w:firstRow="1" w:lastRow="0" w:firstColumn="1" w:lastColumn="0" w:noHBand="0" w:noVBand="1"/>
                  </w:tblPr>
                  <w:tblGrid>
                    <w:gridCol w:w="6480"/>
                    <w:gridCol w:w="3240"/>
                  </w:tblGrid>
                  <w:tr w:rsidR="00E27844">
                    <w:trPr>
                      <w:tblCellSpacing w:w="0" w:type="dxa"/>
                    </w:trPr>
                    <w:tc>
                      <w:tcPr>
                        <w:tcW w:w="0" w:type="auto"/>
                        <w:hideMark/>
                      </w:tcPr>
                      <w:tbl>
                        <w:tblPr>
                          <w:tblpPr w:vertAnchor="text"/>
                          <w:tblW w:w="6480" w:type="dxa"/>
                          <w:tblCellSpacing w:w="0" w:type="dxa"/>
                          <w:tblCellMar>
                            <w:left w:w="0" w:type="dxa"/>
                            <w:right w:w="0" w:type="dxa"/>
                          </w:tblCellMar>
                          <w:tblLook w:val="04A0" w:firstRow="1" w:lastRow="0" w:firstColumn="1" w:lastColumn="0" w:noHBand="0" w:noVBand="1"/>
                        </w:tblPr>
                        <w:tblGrid>
                          <w:gridCol w:w="6480"/>
                        </w:tblGrid>
                        <w:tr w:rsidR="00E27844">
                          <w:trPr>
                            <w:tblCellSpacing w:w="0" w:type="dxa"/>
                          </w:trPr>
                          <w:tc>
                            <w:tcPr>
                              <w:tcW w:w="0" w:type="auto"/>
                              <w:tcMar>
                                <w:top w:w="330" w:type="dxa"/>
                                <w:left w:w="330" w:type="dxa"/>
                                <w:bottom w:w="330" w:type="dxa"/>
                                <w:right w:w="330" w:type="dxa"/>
                              </w:tcMar>
                              <w:hideMark/>
                            </w:tcPr>
                            <w:p w:rsidR="00E27844" w:rsidRDefault="00E27844">
                              <w:pPr>
                                <w:rPr>
                                  <w:rFonts w:ascii="Arial" w:eastAsia="Times New Roman" w:hAnsi="Arial" w:cs="Arial"/>
                                  <w:color w:val="15406C"/>
                                  <w:sz w:val="18"/>
                                  <w:szCs w:val="18"/>
                                </w:rPr>
                              </w:pPr>
                              <w:r>
                                <w:rPr>
                                  <w:rStyle w:val="lev"/>
                                  <w:rFonts w:ascii="Arial" w:eastAsia="Times New Roman" w:hAnsi="Arial" w:cs="Arial"/>
                                  <w:color w:val="15406C"/>
                                  <w:sz w:val="18"/>
                                  <w:szCs w:val="18"/>
                                </w:rPr>
                                <w:t>Contact : Direction de la Prospective économique, juridique et médicale</w:t>
                              </w:r>
                              <w:r>
                                <w:rPr>
                                  <w:rFonts w:ascii="Arial" w:eastAsia="Times New Roman" w:hAnsi="Arial" w:cs="Arial"/>
                                  <w:color w:val="15406C"/>
                                  <w:sz w:val="18"/>
                                  <w:szCs w:val="18"/>
                                </w:rPr>
                                <w:br/>
                              </w:r>
                              <w:r>
                                <w:rPr>
                                  <w:rStyle w:val="lev"/>
                                  <w:rFonts w:ascii="Arial" w:eastAsia="Times New Roman" w:hAnsi="Arial" w:cs="Arial"/>
                                  <w:color w:val="15406C"/>
                                  <w:sz w:val="18"/>
                                  <w:szCs w:val="18"/>
                                </w:rPr>
                                <w:t>Guilherme Pontes, responsable du pôle économique</w:t>
                              </w:r>
                              <w:r>
                                <w:rPr>
                                  <w:rFonts w:ascii="Arial" w:eastAsia="Times New Roman" w:hAnsi="Arial" w:cs="Arial"/>
                                  <w:color w:val="15406C"/>
                                  <w:sz w:val="18"/>
                                  <w:szCs w:val="18"/>
                                </w:rPr>
                                <w:br/>
                                <w:t xml:space="preserve">Tél. 01 53 83 56 56 - </w:t>
                              </w:r>
                              <w:hyperlink r:id="rId10" w:history="1">
                                <w:r>
                                  <w:rPr>
                                    <w:rStyle w:val="Lienhypertexte"/>
                                    <w:rFonts w:ascii="Arial" w:eastAsia="Times New Roman" w:hAnsi="Arial" w:cs="Arial"/>
                                    <w:color w:val="3E21FF"/>
                                    <w:sz w:val="18"/>
                                    <w:szCs w:val="18"/>
                                  </w:rPr>
                                  <w:t>guilherme.pontes@fhp.fr</w:t>
                                </w:r>
                              </w:hyperlink>
                            </w:p>
                          </w:tc>
                        </w:tr>
                      </w:tbl>
                      <w:p w:rsidR="00E27844" w:rsidRDefault="00E27844">
                        <w:pPr>
                          <w:rPr>
                            <w:rFonts w:eastAsia="Times New Roman"/>
                            <w:sz w:val="20"/>
                            <w:szCs w:val="20"/>
                          </w:rPr>
                        </w:pPr>
                      </w:p>
                    </w:tc>
                    <w:tc>
                      <w:tcPr>
                        <w:tcW w:w="0" w:type="auto"/>
                        <w:hideMark/>
                      </w:tcPr>
                      <w:tbl>
                        <w:tblPr>
                          <w:tblpPr w:vertAnchor="text" w:tblpXSpec="right" w:tblpYSpec="center"/>
                          <w:tblW w:w="3240" w:type="dxa"/>
                          <w:tblCellSpacing w:w="0" w:type="dxa"/>
                          <w:tblCellMar>
                            <w:left w:w="0" w:type="dxa"/>
                            <w:right w:w="0" w:type="dxa"/>
                          </w:tblCellMar>
                          <w:tblLook w:val="04A0" w:firstRow="1" w:lastRow="0" w:firstColumn="1" w:lastColumn="0" w:noHBand="0" w:noVBand="1"/>
                        </w:tblPr>
                        <w:tblGrid>
                          <w:gridCol w:w="3240"/>
                        </w:tblGrid>
                        <w:tr w:rsidR="00E27844">
                          <w:trPr>
                            <w:tblCellSpacing w:w="0" w:type="dxa"/>
                          </w:trPr>
                          <w:tc>
                            <w:tcPr>
                              <w:tcW w:w="0" w:type="auto"/>
                              <w:tcMar>
                                <w:top w:w="330" w:type="dxa"/>
                                <w:left w:w="330" w:type="dxa"/>
                                <w:bottom w:w="330" w:type="dxa"/>
                                <w:right w:w="330" w:type="dxa"/>
                              </w:tcMar>
                              <w:hideMark/>
                            </w:tcPr>
                            <w:p w:rsidR="00E27844" w:rsidRDefault="00E27844">
                              <w:pPr>
                                <w:pStyle w:val="NormalWeb"/>
                                <w:jc w:val="center"/>
                                <w:rPr>
                                  <w:rFonts w:ascii="Arial" w:hAnsi="Arial" w:cs="Arial"/>
                                  <w:color w:val="15406C"/>
                                  <w:sz w:val="18"/>
                                  <w:szCs w:val="18"/>
                                </w:rPr>
                              </w:pPr>
                              <w:r>
                                <w:rPr>
                                  <w:rFonts w:ascii="Arial" w:hAnsi="Arial" w:cs="Arial"/>
                                  <w:noProof/>
                                  <w:color w:val="3E21FF"/>
                                  <w:sz w:val="18"/>
                                  <w:szCs w:val="18"/>
                                </w:rPr>
                                <w:drawing>
                                  <wp:inline distT="0" distB="0" distL="0" distR="0">
                                    <wp:extent cx="1524000" cy="390525"/>
                                    <wp:effectExtent l="0" t="0" r="0" b="9525"/>
                                    <wp:docPr id="1" name="Image 1" descr="http://img.news.fhp.fr/66842/tyN3Z4R9e02d6XW7IBNupg/image_07.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BrwIJrCCAFEIEuIJvvtCttGBFCBvwt" descr="http://img.news.fhp.fr/66842/tyN3Z4R9e02d6XW7IBNupg/image_0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r>
                      </w:tbl>
                      <w:p w:rsidR="00E27844" w:rsidRDefault="00E27844">
                        <w:pPr>
                          <w:rPr>
                            <w:rFonts w:eastAsia="Times New Roman"/>
                            <w:sz w:val="20"/>
                            <w:szCs w:val="20"/>
                          </w:rPr>
                        </w:pPr>
                      </w:p>
                    </w:tc>
                  </w:tr>
                </w:tbl>
                <w:p w:rsidR="00E27844" w:rsidRDefault="00E27844">
                  <w:pPr>
                    <w:rPr>
                      <w:rFonts w:eastAsia="Times New Roman"/>
                      <w:sz w:val="20"/>
                      <w:szCs w:val="20"/>
                    </w:rPr>
                  </w:pPr>
                </w:p>
              </w:tc>
            </w:tr>
          </w:tbl>
          <w:p w:rsidR="00E27844" w:rsidRDefault="00E27844">
            <w:pPr>
              <w:jc w:val="center"/>
              <w:rPr>
                <w:rFonts w:eastAsia="Times New Roman"/>
                <w:sz w:val="20"/>
                <w:szCs w:val="20"/>
              </w:rPr>
            </w:pPr>
          </w:p>
        </w:tc>
      </w:tr>
    </w:tbl>
    <w:p w:rsidR="00187706" w:rsidRDefault="00187706"/>
    <w:sectPr w:rsidR="001877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70"/>
    <w:rsid w:val="00187706"/>
    <w:rsid w:val="00D13C70"/>
    <w:rsid w:val="00E278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8557A-B00F-4921-9311-EC389BCD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844"/>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27844"/>
    <w:rPr>
      <w:color w:val="0000FF"/>
      <w:u w:val="single"/>
    </w:rPr>
  </w:style>
  <w:style w:type="paragraph" w:styleId="NormalWeb">
    <w:name w:val="Normal (Web)"/>
    <w:basedOn w:val="Normal"/>
    <w:uiPriority w:val="99"/>
    <w:semiHidden/>
    <w:unhideWhenUsed/>
    <w:rsid w:val="00E27844"/>
  </w:style>
  <w:style w:type="character" w:styleId="lev">
    <w:name w:val="Strong"/>
    <w:basedOn w:val="Policepardfaut"/>
    <w:uiPriority w:val="22"/>
    <w:qFormat/>
    <w:rsid w:val="00E27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27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ye.news.fhp.fr/c?p=xBAQ0I3Qj2p-M-pA0JMJ0Ic67tDadyfEEG3Q3hge0KPQiyZC0I9RNdDQ0JHs0KMyum1haWx0bzpyZW1pLmdlcm1haW5AZmhwLmZypTY2ODQyxBDQqGR50IbQttDbHkjQjELQjNDWetC4KxSvZXllLm5ld3MuZmhwLmZyxBTwJ9C38SYS73HQwDlvDvzQzUVeK9CjOdDL"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ye.news.fhp.fr/c?p=xBAQ0I3Qj2p-M-pA0JMJ0Ic67tDadyfEEPFNchbQnftoRdCuZdDcNtCkWAw_vm1haWx0bzpndWlsaGVybWUucG9udGVzQGZocC5mcqU2Njg0MsQQ0KhkedCG0LbQ2x5I0IxC0IzQ1nrQuCsUr2V5ZS5uZXdzLmZocC5mcsQU8CfQt_EmEu9x0MA5bw780M1FXivQoznQyw" TargetMode="External"/><Relationship Id="rId11" Type="http://schemas.openxmlformats.org/officeDocument/2006/relationships/hyperlink" Target="http://eye.news.fhp.fr/c?p=xBAQ0I3Qj2p-M-pA0JMJ0Ic67tDadyfEEA860NpvJv3QrEvQhtDLN-c5eNDF8rJodHRwOi8vd3d3LmZocC5mci-lNjY4NDLEENCoZHnQhtC20NseSNCMQtCM0NZ60LgrFK9leWUubmV3cy5maHAuZnLEFPAn0LfxJhLvcdDAOW8O_NDNRV4r0KM50Ms" TargetMode="External"/><Relationship Id="rId5" Type="http://schemas.openxmlformats.org/officeDocument/2006/relationships/hyperlink" Target="http://eye.news.fhp.fr/c?p=xBAQ0I3Qj2p-M-pA0JMJ0Ic67tDadyfEENCF0MzQnvjQn9C40LhI0JUFV9ChcHIMWdlTaHR0cDovL2tvYW1hLmZocC5mci9maWNoaWVycy8yMDE4MDgyMDE1MzgyNF9LaXRfYWNjb21wYWduZW1lbnRfRVNfZW5fZGlmZmljdWx0ZS5wZGalNjY4NDLEENCoZHnQhtC20NseSNCMQtCM0NZ60LgrFK9leWUubmV3cy5maHAuZnLEFPAn0LfxJhLvcdDAOW8O_NDNRV4r0KM50Ms" TargetMode="External"/><Relationship Id="rId10" Type="http://schemas.openxmlformats.org/officeDocument/2006/relationships/hyperlink" Target="http://eye.news.fhp.fr/c?p=xBAQ0I3Qj2p-M-pA0JMJ0Ic67tDadyfEEDgXSC7QrNC00MlE0KIfVP8S0LBRYbVtYWlsdG86Y29tLmZocEBmaHAuZnKlNjY4NDLEENCoZHnQhtC20NseSNCMQtCM0NZ60LgrFK9leWUubmV3cy5maHAuZnLEFPAn0LfxJhLvcdDAOW8O_NDNRV4r0KM50Ms" TargetMode="External"/><Relationship Id="rId4" Type="http://schemas.openxmlformats.org/officeDocument/2006/relationships/image" Target="media/image1.jpeg"/><Relationship Id="rId9" Type="http://schemas.openxmlformats.org/officeDocument/2006/relationships/hyperlink" Target="http://eye.news.fhp.fr/c?p=xBAQ0I3Qj2p-M-pA0JMJ0Ic67tDadyfEEAAkVNCHMdDR0NtH0LjQq_5o0MXQntDAJtlTaHR0cDovL2tvYW1hLmZocC5mci9maWNoaWVycy8yMDE4MDgyMDE1MzgyNF9LaXRfYWNjb21wYWduZW1lbnRfRVNfZW5fZGlmZmljdWx0ZS5wZGalNjY4NDLEENCoZHnQhtC20NseSNCMQtCM0NZ60LgrFK9leWUubmV3cy5maHAuZnLEFPAn0LfxJhLvcdDAOW8O_NDNRV4r0KM50M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4624</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2018-09-20T13:54:00Z</dcterms:created>
  <dcterms:modified xsi:type="dcterms:W3CDTF">2018-09-20T13:55:00Z</dcterms:modified>
</cp:coreProperties>
</file>