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A7" w:rsidRDefault="00726DA7" w:rsidP="00726DA7">
      <w:pPr>
        <w:jc w:val="center"/>
      </w:pPr>
      <w:r>
        <w:t xml:space="preserve">EXTRAIT PLFSS 2017 DEFINITIF </w:t>
      </w:r>
    </w:p>
    <w:p w:rsidR="00622306" w:rsidRDefault="00726DA7" w:rsidP="00726DA7">
      <w:pPr>
        <w:jc w:val="center"/>
      </w:pPr>
      <w:bookmarkStart w:id="0" w:name="_GoBack"/>
      <w:r>
        <w:t>(Vote solennel du 5 décembre 2016)</w:t>
      </w:r>
    </w:p>
    <w:bookmarkEnd w:id="0"/>
    <w:p w:rsidR="00726DA7" w:rsidRDefault="00726DA7" w:rsidP="00726DA7">
      <w:pPr>
        <w:jc w:val="center"/>
      </w:pPr>
    </w:p>
    <w:p w:rsidR="00726DA7" w:rsidRDefault="00726DA7" w:rsidP="00726DA7">
      <w:pPr>
        <w:jc w:val="center"/>
      </w:pPr>
    </w:p>
    <w:p w:rsidR="00726DA7" w:rsidRPr="00726DA7" w:rsidRDefault="00726DA7" w:rsidP="0072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fr-FR"/>
        </w:rPr>
      </w:pPr>
      <w:r w:rsidRPr="00726DA7"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fr-FR"/>
        </w:rPr>
        <w:t>Article 80 (ex-44 bis)</w:t>
      </w:r>
    </w:p>
    <w:p w:rsidR="00726DA7" w:rsidRDefault="00726DA7" w:rsidP="00726DA7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r-FR"/>
        </w:rPr>
      </w:pP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r-FR"/>
        </w:rPr>
        <w:t>« </w:t>
      </w:r>
      <w:r w:rsidRPr="00726DA7"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  <w:t xml:space="preserve">I. – L’article L. 162-21-2 du code de la sécurité sociale est ainsi rétabli : </w:t>
      </w: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  <w:r w:rsidRPr="00726DA7"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  <w:t xml:space="preserve">Art. L. 162-21-2. – Les transports réalisés au sein d’un même établissement de santé ou entre deux établissements de santé ont pris en charge par l’établissement à l’origine de la prescription de transport et sont inclus dans les tarifs des prestations mentionnés au 1° des articles L. 162-22-1 et L. 162-22-6 et à l’article L. 162-23-1 ou dans la dotation mentionnée à l’article L. 174-1. </w:t>
      </w: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  <w:r w:rsidRPr="00726DA7"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  <w:t xml:space="preserve">Un décret précise les conditions d’application du présent article.  </w:t>
      </w: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</w:p>
    <w:p w:rsidR="00726DA7" w:rsidRPr="00726DA7" w:rsidRDefault="00726DA7" w:rsidP="00726D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</w:pPr>
      <w:r w:rsidRPr="00726DA7"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  <w:t>II. – Le I entre en vigueur le 1</w:t>
      </w:r>
      <w:r w:rsidRPr="00726DA7">
        <w:rPr>
          <w:rFonts w:ascii="Times New Roman" w:eastAsia="Times New Roman" w:hAnsi="Times New Roman" w:cs="Times New Roman"/>
          <w:i/>
          <w:sz w:val="23"/>
          <w:szCs w:val="23"/>
          <w:vertAlign w:val="superscript"/>
          <w:lang w:eastAsia="fr-FR"/>
        </w:rPr>
        <w:t>er</w:t>
      </w:r>
      <w:r w:rsidRPr="00726DA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Pr="00726DA7">
        <w:rPr>
          <w:rFonts w:ascii="Times New Roman" w:eastAsia="Times New Roman" w:hAnsi="Times New Roman" w:cs="Times New Roman"/>
          <w:i/>
          <w:sz w:val="35"/>
          <w:szCs w:val="35"/>
          <w:lang w:eastAsia="fr-FR"/>
        </w:rPr>
        <w:t xml:space="preserve">mars 2018 ». </w:t>
      </w:r>
    </w:p>
    <w:p w:rsidR="00726DA7" w:rsidRPr="00726DA7" w:rsidRDefault="00726DA7" w:rsidP="00726DA7">
      <w:pPr>
        <w:jc w:val="both"/>
        <w:rPr>
          <w:i/>
        </w:rPr>
      </w:pPr>
    </w:p>
    <w:sectPr w:rsidR="00726DA7" w:rsidRPr="0072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A7"/>
    <w:rsid w:val="00622306"/>
    <w:rsid w:val="007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73DD-1AF5-4AF7-8A73-854B975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FHP-SSR</dc:creator>
  <cp:keywords/>
  <dc:description/>
  <cp:lastModifiedBy>FHP-SSR</cp:lastModifiedBy>
  <cp:revision>1</cp:revision>
  <dcterms:created xsi:type="dcterms:W3CDTF">2016-12-16T10:04:00Z</dcterms:created>
  <dcterms:modified xsi:type="dcterms:W3CDTF">2016-12-16T10:07:00Z</dcterms:modified>
</cp:coreProperties>
</file>