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6"/>
      </w:tblGrid>
      <w:tr w:rsidR="006F68B4" w14:paraId="2A2A1F38" w14:textId="77777777" w:rsidTr="006F68B4">
        <w:tc>
          <w:tcPr>
            <w:tcW w:w="9206" w:type="dxa"/>
          </w:tcPr>
          <w:p w14:paraId="075A3183" w14:textId="77777777" w:rsidR="006F68B4" w:rsidRDefault="006F68B4">
            <w:r>
              <w:rPr>
                <w:noProof/>
              </w:rPr>
              <w:drawing>
                <wp:anchor distT="0" distB="0" distL="114300" distR="114300" simplePos="0" relativeHeight="251658240" behindDoc="0" locked="0" layoutInCell="1" allowOverlap="1" wp14:anchorId="403E3C1F" wp14:editId="2E95452F">
                  <wp:simplePos x="0" y="0"/>
                  <wp:positionH relativeFrom="column">
                    <wp:posOffset>0</wp:posOffset>
                  </wp:positionH>
                  <wp:positionV relativeFrom="paragraph">
                    <wp:posOffset>81280</wp:posOffset>
                  </wp:positionV>
                  <wp:extent cx="1021080" cy="861060"/>
                  <wp:effectExtent l="0" t="0" r="0" b="2540"/>
                  <wp:wrapThrough wrapText="right">
                    <wp:wrapPolygon edited="0">
                      <wp:start x="0" y="0"/>
                      <wp:lineTo x="0" y="21027"/>
                      <wp:lineTo x="20955" y="21027"/>
                      <wp:lineTo x="20955" y="0"/>
                      <wp:lineTo x="0" y="0"/>
                    </wp:wrapPolygon>
                  </wp:wrapThrough>
                  <wp:docPr id="1" name="Image 1" descr="SSR_LO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R_LOGO_RV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1080" cy="8610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F68B4" w14:paraId="672EFDB4" w14:textId="77777777" w:rsidTr="006F68B4">
        <w:tc>
          <w:tcPr>
            <w:tcW w:w="9206" w:type="dxa"/>
          </w:tcPr>
          <w:p w14:paraId="2CFC7CC3" w14:textId="77777777" w:rsidR="006F68B4" w:rsidRDefault="006F68B4" w:rsidP="006F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right"/>
              <w:rPr>
                <w:rFonts w:ascii="Optima" w:hAnsi="Optima"/>
                <w:color w:val="4A442A"/>
                <w:sz w:val="22"/>
                <w:szCs w:val="22"/>
              </w:rPr>
            </w:pPr>
          </w:p>
          <w:p w14:paraId="6D4B2160" w14:textId="77777777" w:rsidR="006F68B4" w:rsidRPr="00DB0BB7" w:rsidRDefault="006F68B4" w:rsidP="006F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right"/>
              <w:rPr>
                <w:rFonts w:ascii="Optima" w:hAnsi="Optima"/>
                <w:color w:val="4A442A"/>
                <w:sz w:val="22"/>
                <w:szCs w:val="22"/>
              </w:rPr>
            </w:pPr>
            <w:r w:rsidRPr="00DB0BB7">
              <w:rPr>
                <w:rFonts w:ascii="Optima" w:hAnsi="Optima"/>
                <w:color w:val="4A442A"/>
                <w:sz w:val="22"/>
                <w:szCs w:val="22"/>
              </w:rPr>
              <w:t>COMMUNIQUE DE PRESSE</w:t>
            </w:r>
          </w:p>
          <w:p w14:paraId="764C4639" w14:textId="77777777" w:rsidR="006F68B4" w:rsidRDefault="006F68B4"/>
        </w:tc>
      </w:tr>
      <w:tr w:rsidR="006F68B4" w14:paraId="58F56BBD" w14:textId="77777777" w:rsidTr="006F68B4">
        <w:tc>
          <w:tcPr>
            <w:tcW w:w="9206" w:type="dxa"/>
          </w:tcPr>
          <w:p w14:paraId="10C7CC1E" w14:textId="77777777" w:rsidR="006F68B4" w:rsidRDefault="006F68B4" w:rsidP="006938B3">
            <w:pPr>
              <w:contextualSpacing/>
              <w:jc w:val="center"/>
              <w:rPr>
                <w:rFonts w:ascii="Optima" w:hAnsi="Optima"/>
              </w:rPr>
            </w:pPr>
          </w:p>
          <w:p w14:paraId="61F39704" w14:textId="7B1ABA19" w:rsidR="006F68B4" w:rsidRPr="00F43CF6" w:rsidRDefault="006938B3" w:rsidP="006938B3">
            <w:pPr>
              <w:jc w:val="center"/>
            </w:pPr>
            <w:r w:rsidRPr="00F43CF6">
              <w:rPr>
                <w:rFonts w:ascii="Optima" w:hAnsi="Optima"/>
                <w:color w:val="008000"/>
                <w:sz w:val="28"/>
                <w:szCs w:val="28"/>
              </w:rPr>
              <w:t>Tarification à l’activité (T2A) en Soins de Suite et de Réadaptation :</w:t>
            </w:r>
          </w:p>
        </w:tc>
      </w:tr>
      <w:tr w:rsidR="006F68B4" w14:paraId="44EE1A8A" w14:textId="77777777" w:rsidTr="006F68B4">
        <w:tc>
          <w:tcPr>
            <w:tcW w:w="9206" w:type="dxa"/>
          </w:tcPr>
          <w:p w14:paraId="5A331217" w14:textId="5DAF8391" w:rsidR="006F68B4" w:rsidRDefault="006F68B4" w:rsidP="006F68B4">
            <w:pPr>
              <w:contextualSpacing/>
              <w:jc w:val="center"/>
              <w:rPr>
                <w:rFonts w:ascii="Optima" w:hAnsi="Optima"/>
                <w:b/>
                <w:color w:val="008000"/>
                <w:sz w:val="28"/>
                <w:szCs w:val="28"/>
              </w:rPr>
            </w:pPr>
          </w:p>
          <w:p w14:paraId="62010F29" w14:textId="77777777" w:rsidR="00F43CF6" w:rsidRDefault="00F43CF6" w:rsidP="00BB3FA4">
            <w:pPr>
              <w:contextualSpacing/>
              <w:jc w:val="center"/>
              <w:rPr>
                <w:rFonts w:ascii="Optima" w:hAnsi="Optima"/>
                <w:b/>
                <w:color w:val="008000"/>
                <w:sz w:val="28"/>
                <w:szCs w:val="28"/>
              </w:rPr>
            </w:pPr>
            <w:r>
              <w:rPr>
                <w:rFonts w:ascii="Optima" w:hAnsi="Optima"/>
                <w:b/>
                <w:color w:val="008000"/>
                <w:sz w:val="28"/>
                <w:szCs w:val="28"/>
              </w:rPr>
              <w:t xml:space="preserve">Le cabinet ministériel annonce que le principe de la T2A en SSR </w:t>
            </w:r>
          </w:p>
          <w:p w14:paraId="541A7AC0" w14:textId="6F4654C4" w:rsidR="006F68B4" w:rsidRPr="00DB0BB7" w:rsidRDefault="00F43CF6" w:rsidP="00BB3FA4">
            <w:pPr>
              <w:contextualSpacing/>
              <w:jc w:val="center"/>
              <w:rPr>
                <w:rFonts w:ascii="Optima" w:hAnsi="Optima"/>
                <w:b/>
                <w:color w:val="008000"/>
                <w:sz w:val="28"/>
                <w:szCs w:val="28"/>
              </w:rPr>
            </w:pPr>
            <w:r>
              <w:rPr>
                <w:rFonts w:ascii="Optima" w:hAnsi="Optima"/>
                <w:b/>
                <w:color w:val="008000"/>
                <w:sz w:val="28"/>
                <w:szCs w:val="28"/>
              </w:rPr>
              <w:t>n’est pas remis en question : de nouvelles bases sont à l’étude.</w:t>
            </w:r>
          </w:p>
          <w:p w14:paraId="16E40705" w14:textId="77777777" w:rsidR="006F68B4" w:rsidRDefault="006F68B4">
            <w:bookmarkStart w:id="0" w:name="_GoBack"/>
            <w:bookmarkEnd w:id="0"/>
          </w:p>
        </w:tc>
      </w:tr>
      <w:tr w:rsidR="006F68B4" w14:paraId="42A586B5" w14:textId="77777777" w:rsidTr="006F68B4">
        <w:tc>
          <w:tcPr>
            <w:tcW w:w="9206" w:type="dxa"/>
          </w:tcPr>
          <w:p w14:paraId="34F22A99" w14:textId="77777777" w:rsidR="00D64686" w:rsidRDefault="00D64686" w:rsidP="00BB3FA4">
            <w:pPr>
              <w:jc w:val="both"/>
              <w:rPr>
                <w:rFonts w:ascii="Optima" w:hAnsi="Optima"/>
                <w:b/>
              </w:rPr>
            </w:pPr>
          </w:p>
          <w:p w14:paraId="14B0E7A9" w14:textId="07974C3F" w:rsidR="006F68B4" w:rsidRPr="00DB0BB7" w:rsidRDefault="00FD56A3" w:rsidP="00BB3FA4">
            <w:pPr>
              <w:jc w:val="both"/>
              <w:rPr>
                <w:rFonts w:ascii="Optima" w:hAnsi="Optima"/>
                <w:b/>
              </w:rPr>
            </w:pPr>
            <w:r>
              <w:rPr>
                <w:rFonts w:ascii="Optima" w:hAnsi="Optima"/>
                <w:b/>
              </w:rPr>
              <w:t>Marseille</w:t>
            </w:r>
            <w:r w:rsidR="00BB3FA4" w:rsidRPr="00D64686">
              <w:rPr>
                <w:rFonts w:ascii="Optima" w:hAnsi="Optima"/>
                <w:b/>
              </w:rPr>
              <w:t>, le 26</w:t>
            </w:r>
            <w:r w:rsidR="006938B3">
              <w:rPr>
                <w:rFonts w:ascii="Optima" w:hAnsi="Optima"/>
                <w:b/>
              </w:rPr>
              <w:t xml:space="preserve"> septembre 2012 </w:t>
            </w:r>
            <w:r w:rsidR="006938B3" w:rsidRPr="0097545D">
              <w:rPr>
                <w:rFonts w:ascii="Optima" w:hAnsi="Optima"/>
                <w:b/>
              </w:rPr>
              <w:t>– Reçue cett</w:t>
            </w:r>
            <w:r w:rsidR="00C86722">
              <w:rPr>
                <w:rFonts w:ascii="Optima" w:hAnsi="Optima"/>
                <w:b/>
              </w:rPr>
              <w:t>e semaine par le cabinet de la ministre des Affaires s</w:t>
            </w:r>
            <w:r w:rsidR="006938B3" w:rsidRPr="0097545D">
              <w:rPr>
                <w:rFonts w:ascii="Optima" w:hAnsi="Optima"/>
                <w:b/>
              </w:rPr>
              <w:t>ociales et de la Santé, une délégation de la FHP SSR, qui représente plus de 450 établissements et 375 000 patients pris en charge chaque année, a été rassurée sur l’avenir de la tarification à l’activité.</w:t>
            </w:r>
          </w:p>
          <w:p w14:paraId="61B400C7" w14:textId="77777777" w:rsidR="006F68B4" w:rsidRPr="00DB0BB7" w:rsidRDefault="006F68B4" w:rsidP="006F68B4">
            <w:pPr>
              <w:jc w:val="both"/>
              <w:rPr>
                <w:rFonts w:ascii="Optima" w:hAnsi="Optima"/>
                <w:color w:val="4A442A"/>
                <w:sz w:val="22"/>
                <w:szCs w:val="22"/>
              </w:rPr>
            </w:pPr>
          </w:p>
          <w:p w14:paraId="5362F676" w14:textId="3BC05C57" w:rsidR="006938B3" w:rsidRPr="0097545D" w:rsidRDefault="006938B3" w:rsidP="006938B3">
            <w:pPr>
              <w:jc w:val="both"/>
              <w:rPr>
                <w:rFonts w:ascii="Optima" w:hAnsi="Optima"/>
                <w:color w:val="4A442A"/>
              </w:rPr>
            </w:pPr>
            <w:r w:rsidRPr="0097545D">
              <w:rPr>
                <w:rFonts w:ascii="Optima" w:hAnsi="Optima"/>
                <w:color w:val="4A442A"/>
              </w:rPr>
              <w:t>« </w:t>
            </w:r>
            <w:r w:rsidRPr="0097545D">
              <w:rPr>
                <w:rFonts w:ascii="Optima" w:hAnsi="Optima"/>
                <w:i/>
                <w:color w:val="4A442A"/>
              </w:rPr>
              <w:t>Le principe de la T2A dans le secteur SSR n’est pas remis en question </w:t>
            </w:r>
            <w:r w:rsidRPr="0097545D">
              <w:rPr>
                <w:rFonts w:ascii="Optima" w:hAnsi="Optima"/>
                <w:color w:val="4A442A"/>
              </w:rPr>
              <w:t xml:space="preserve">» soulignent le Président et le Délégué général de la FHP SSR, Gabriel </w:t>
            </w:r>
            <w:proofErr w:type="spellStart"/>
            <w:r w:rsidRPr="0097545D">
              <w:rPr>
                <w:rFonts w:ascii="Optima" w:hAnsi="Optima"/>
                <w:color w:val="4A442A"/>
              </w:rPr>
              <w:t>Bossy</w:t>
            </w:r>
            <w:proofErr w:type="spellEnd"/>
            <w:r w:rsidRPr="0097545D">
              <w:rPr>
                <w:rFonts w:ascii="Optima" w:hAnsi="Optima"/>
                <w:color w:val="4A442A"/>
              </w:rPr>
              <w:t xml:space="preserve"> et Théodore </w:t>
            </w:r>
            <w:proofErr w:type="spellStart"/>
            <w:r w:rsidRPr="0097545D">
              <w:rPr>
                <w:rFonts w:ascii="Optima" w:hAnsi="Optima"/>
                <w:color w:val="4A442A"/>
              </w:rPr>
              <w:t>Amarantinis</w:t>
            </w:r>
            <w:proofErr w:type="spellEnd"/>
            <w:r w:rsidRPr="0097545D">
              <w:rPr>
                <w:rFonts w:ascii="Optima" w:hAnsi="Optima"/>
                <w:color w:val="4A442A"/>
              </w:rPr>
              <w:t>. « </w:t>
            </w:r>
            <w:r w:rsidRPr="0097545D">
              <w:rPr>
                <w:rFonts w:ascii="Optima" w:hAnsi="Optima"/>
                <w:i/>
                <w:color w:val="4A442A"/>
              </w:rPr>
              <w:t>Le cabinet nous a assuré que les travaux allaient se poursuivre. Il s’agi</w:t>
            </w:r>
            <w:r w:rsidR="00C86722">
              <w:rPr>
                <w:rFonts w:ascii="Optima" w:hAnsi="Optima"/>
                <w:i/>
                <w:color w:val="4A442A"/>
              </w:rPr>
              <w:t>t d’élaborer une tarification d</w:t>
            </w:r>
            <w:r w:rsidRPr="0097545D">
              <w:rPr>
                <w:rFonts w:ascii="Optima" w:hAnsi="Optima"/>
                <w:i/>
                <w:color w:val="4A442A"/>
              </w:rPr>
              <w:t>avantage centrée sur le parcours du patient que sur l’activité des structures </w:t>
            </w:r>
            <w:r w:rsidRPr="0097545D">
              <w:rPr>
                <w:rFonts w:ascii="Optima" w:hAnsi="Optima"/>
                <w:color w:val="4A442A"/>
              </w:rPr>
              <w:t>».</w:t>
            </w:r>
          </w:p>
          <w:p w14:paraId="1695F3BF" w14:textId="77777777" w:rsidR="006938B3" w:rsidRPr="0097545D" w:rsidRDefault="006938B3" w:rsidP="006938B3">
            <w:pPr>
              <w:jc w:val="both"/>
              <w:rPr>
                <w:rFonts w:ascii="Optima" w:hAnsi="Optima"/>
                <w:color w:val="4A442A"/>
              </w:rPr>
            </w:pPr>
          </w:p>
          <w:p w14:paraId="11B4A8ED" w14:textId="2A916D23" w:rsidR="006938B3" w:rsidRPr="0097545D" w:rsidRDefault="006938B3" w:rsidP="006938B3">
            <w:pPr>
              <w:jc w:val="both"/>
              <w:rPr>
                <w:rFonts w:ascii="Optima" w:hAnsi="Optima"/>
                <w:color w:val="4A442A"/>
              </w:rPr>
            </w:pPr>
            <w:r w:rsidRPr="0097545D">
              <w:rPr>
                <w:rFonts w:ascii="Optima" w:hAnsi="Optima"/>
                <w:color w:val="4A442A"/>
              </w:rPr>
              <w:t>Cela rejoint les demandes du syndicat de voir le futur modèle de financement mieux prendre en compte la lourdeur des patients. « </w:t>
            </w:r>
            <w:r w:rsidRPr="0097545D">
              <w:rPr>
                <w:rFonts w:ascii="Optima" w:hAnsi="Optima"/>
                <w:i/>
                <w:color w:val="4A442A"/>
              </w:rPr>
              <w:t>Si les trav</w:t>
            </w:r>
            <w:r w:rsidR="00C86722">
              <w:rPr>
                <w:rFonts w:ascii="Optima" w:hAnsi="Optima"/>
                <w:i/>
                <w:color w:val="4A442A"/>
              </w:rPr>
              <w:t>aux de refonte du CSARR</w:t>
            </w:r>
            <w:r w:rsidR="00705BB8">
              <w:rPr>
                <w:rFonts w:ascii="Optima" w:hAnsi="Optima"/>
                <w:i/>
                <w:color w:val="4A442A"/>
              </w:rPr>
              <w:t>,</w:t>
            </w:r>
            <w:r w:rsidRPr="0097545D">
              <w:rPr>
                <w:rFonts w:ascii="Optima" w:hAnsi="Optima"/>
                <w:i/>
                <w:color w:val="4A442A"/>
              </w:rPr>
              <w:t xml:space="preserve"> de la nouvelle grille de dépendance et de la classification PMSI réformée vont dans ce sens, nous nous y associerons pleinement </w:t>
            </w:r>
            <w:r w:rsidRPr="0097545D">
              <w:rPr>
                <w:rFonts w:ascii="Optima" w:hAnsi="Optima"/>
                <w:color w:val="4A442A"/>
              </w:rPr>
              <w:t>» affirment les deux responsables.</w:t>
            </w:r>
          </w:p>
          <w:p w14:paraId="5AC14AF6" w14:textId="77777777" w:rsidR="006938B3" w:rsidRPr="0097545D" w:rsidRDefault="006938B3" w:rsidP="006938B3">
            <w:pPr>
              <w:jc w:val="both"/>
              <w:rPr>
                <w:rFonts w:ascii="Optima" w:hAnsi="Optima"/>
                <w:color w:val="4A442A"/>
              </w:rPr>
            </w:pPr>
          </w:p>
          <w:p w14:paraId="4465A86B" w14:textId="77777777" w:rsidR="006938B3" w:rsidRPr="0097545D" w:rsidRDefault="006938B3" w:rsidP="006938B3">
            <w:pPr>
              <w:jc w:val="both"/>
              <w:rPr>
                <w:rFonts w:ascii="Optima" w:hAnsi="Optima"/>
                <w:b/>
                <w:color w:val="4A442A"/>
              </w:rPr>
            </w:pPr>
            <w:r w:rsidRPr="0097545D">
              <w:rPr>
                <w:rFonts w:ascii="Optima" w:hAnsi="Optima"/>
                <w:b/>
                <w:color w:val="4A442A"/>
              </w:rPr>
              <w:t>Agir d’ici 2016</w:t>
            </w:r>
          </w:p>
          <w:p w14:paraId="0AFADDAD" w14:textId="77777777" w:rsidR="006938B3" w:rsidRPr="0097545D" w:rsidRDefault="006938B3" w:rsidP="006938B3">
            <w:pPr>
              <w:jc w:val="both"/>
              <w:rPr>
                <w:rFonts w:ascii="Optima" w:hAnsi="Optima"/>
                <w:color w:val="4A442A"/>
              </w:rPr>
            </w:pPr>
          </w:p>
          <w:p w14:paraId="5516F04A" w14:textId="77777777" w:rsidR="006938B3" w:rsidRPr="0097545D" w:rsidRDefault="006938B3" w:rsidP="006938B3">
            <w:pPr>
              <w:jc w:val="both"/>
              <w:rPr>
                <w:rFonts w:ascii="Optima" w:hAnsi="Optima"/>
                <w:color w:val="4A442A"/>
              </w:rPr>
            </w:pPr>
            <w:r w:rsidRPr="0097545D">
              <w:rPr>
                <w:rFonts w:ascii="Optima" w:hAnsi="Optima"/>
                <w:color w:val="4A442A"/>
              </w:rPr>
              <w:t xml:space="preserve">MM. </w:t>
            </w:r>
            <w:proofErr w:type="spellStart"/>
            <w:r w:rsidRPr="0097545D">
              <w:rPr>
                <w:rFonts w:ascii="Optima" w:hAnsi="Optima"/>
                <w:color w:val="4A442A"/>
              </w:rPr>
              <w:t>Bossy</w:t>
            </w:r>
            <w:proofErr w:type="spellEnd"/>
            <w:r w:rsidRPr="0097545D">
              <w:rPr>
                <w:rFonts w:ascii="Optima" w:hAnsi="Optima"/>
                <w:color w:val="4A442A"/>
              </w:rPr>
              <w:t xml:space="preserve"> et </w:t>
            </w:r>
            <w:proofErr w:type="spellStart"/>
            <w:r w:rsidRPr="0097545D">
              <w:rPr>
                <w:rFonts w:ascii="Optima" w:hAnsi="Optima"/>
                <w:color w:val="4A442A"/>
              </w:rPr>
              <w:t>Amarantinis</w:t>
            </w:r>
            <w:proofErr w:type="spellEnd"/>
            <w:r w:rsidRPr="0097545D">
              <w:rPr>
                <w:rFonts w:ascii="Optima" w:hAnsi="Optima"/>
                <w:color w:val="4A442A"/>
              </w:rPr>
              <w:t xml:space="preserve"> ne veulent pas perdre de temps, d’ici le lancement de la T2A en 2016 : « </w:t>
            </w:r>
            <w:r w:rsidRPr="0097545D">
              <w:rPr>
                <w:rFonts w:ascii="Optima" w:hAnsi="Optima"/>
                <w:i/>
                <w:color w:val="4A442A"/>
              </w:rPr>
              <w:t>Il faut gérer au mieux cette période intermédiaire. Nous avons donc sollicité le Ministère pour que soient utilisés dès la campagne budgétaire 2013, les travaux réalisés en 2011 et 2012 sur une liste de molécules onéreuses, sur les plateaux techniques et sur le financement des programmes labellisés d’ETP, afin de tenir compte des réalités économiques sur des prises en charge de plus en plus lourdes et précoces. </w:t>
            </w:r>
            <w:r>
              <w:rPr>
                <w:rFonts w:ascii="Optima" w:hAnsi="Optima"/>
                <w:color w:val="4A442A"/>
              </w:rPr>
              <w:t>»</w:t>
            </w:r>
            <w:r w:rsidRPr="0097545D">
              <w:rPr>
                <w:rFonts w:ascii="Optima" w:hAnsi="Optima"/>
                <w:color w:val="4A442A"/>
              </w:rPr>
              <w:t xml:space="preserve">  </w:t>
            </w:r>
          </w:p>
          <w:p w14:paraId="6C0D3ACB" w14:textId="77777777" w:rsidR="006938B3" w:rsidRPr="0097545D" w:rsidRDefault="006938B3" w:rsidP="006938B3">
            <w:pPr>
              <w:jc w:val="both"/>
              <w:rPr>
                <w:rFonts w:ascii="Optima" w:hAnsi="Optima"/>
                <w:color w:val="4A442A"/>
              </w:rPr>
            </w:pPr>
          </w:p>
          <w:p w14:paraId="32C6854F" w14:textId="52957DDF" w:rsidR="006F68B4" w:rsidRDefault="006938B3" w:rsidP="006938B3">
            <w:pPr>
              <w:jc w:val="both"/>
              <w:rPr>
                <w:rFonts w:ascii="Optima" w:hAnsi="Optima"/>
                <w:color w:val="4A442A"/>
              </w:rPr>
            </w:pPr>
            <w:r w:rsidRPr="0097545D">
              <w:rPr>
                <w:rFonts w:ascii="Optima" w:hAnsi="Optima"/>
                <w:color w:val="4A442A"/>
              </w:rPr>
              <w:t>Les représentants du syndicat indiquent que « </w:t>
            </w:r>
            <w:r w:rsidRPr="0097545D">
              <w:rPr>
                <w:rFonts w:ascii="Optima" w:hAnsi="Optima"/>
                <w:i/>
                <w:color w:val="4A442A"/>
              </w:rPr>
              <w:t>Le cabinet ministériel semble favorable à notre proposition, ce qui satisfera tous les établissements s’étant fortement impliqués dans la réponse aux enquêtes qu’avaient suscité ces travaux en 2010-2011</w:t>
            </w:r>
            <w:r w:rsidRPr="0097545D">
              <w:rPr>
                <w:rFonts w:ascii="Optima" w:hAnsi="Optima"/>
                <w:color w:val="4A442A"/>
              </w:rPr>
              <w:t>».</w:t>
            </w:r>
          </w:p>
          <w:p w14:paraId="04F4E944" w14:textId="77777777" w:rsidR="006F68B4" w:rsidRPr="006F68B4" w:rsidRDefault="006F68B4" w:rsidP="006F68B4">
            <w:pPr>
              <w:jc w:val="both"/>
              <w:rPr>
                <w:rFonts w:ascii="Optima" w:hAnsi="Optima"/>
                <w:color w:val="4A442A"/>
              </w:rPr>
            </w:pPr>
          </w:p>
        </w:tc>
      </w:tr>
      <w:tr w:rsidR="006F68B4" w14:paraId="68529199" w14:textId="77777777" w:rsidTr="006F68B4">
        <w:tc>
          <w:tcPr>
            <w:tcW w:w="9206" w:type="dxa"/>
          </w:tcPr>
          <w:p w14:paraId="632D9FA6" w14:textId="77777777" w:rsidR="006F68B4" w:rsidRDefault="006F68B4"/>
        </w:tc>
      </w:tr>
      <w:tr w:rsidR="006F68B4" w:rsidRPr="006F68B4" w14:paraId="1B70BF81" w14:textId="77777777" w:rsidTr="006F68B4">
        <w:tc>
          <w:tcPr>
            <w:tcW w:w="9206" w:type="dxa"/>
          </w:tcPr>
          <w:p w14:paraId="42A882CF" w14:textId="77777777" w:rsidR="006F68B4" w:rsidRPr="00D64686" w:rsidRDefault="006F68B4" w:rsidP="006F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Optima" w:hAnsi="Optima"/>
                <w:b/>
                <w:color w:val="008000"/>
                <w:szCs w:val="28"/>
              </w:rPr>
            </w:pPr>
            <w:r w:rsidRPr="00D64686">
              <w:rPr>
                <w:rFonts w:ascii="Optima" w:hAnsi="Optima"/>
                <w:b/>
                <w:color w:val="008000"/>
                <w:szCs w:val="28"/>
              </w:rPr>
              <w:t>A propos de la FHP-SSR</w:t>
            </w:r>
          </w:p>
          <w:p w14:paraId="55AF0C13" w14:textId="77777777" w:rsidR="006F68B4" w:rsidRPr="006F68B4" w:rsidRDefault="006F68B4" w:rsidP="006F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Optima" w:hAnsi="Optima"/>
                <w:color w:val="4A442A"/>
              </w:rPr>
            </w:pPr>
          </w:p>
          <w:p w14:paraId="376F1CAE" w14:textId="77777777" w:rsidR="006F68B4" w:rsidRDefault="006F68B4" w:rsidP="006F68B4">
            <w:pPr>
              <w:jc w:val="both"/>
              <w:rPr>
                <w:rFonts w:ascii="Optima" w:hAnsi="Optima"/>
                <w:color w:val="4A442A"/>
              </w:rPr>
            </w:pPr>
            <w:r w:rsidRPr="006F68B4">
              <w:rPr>
                <w:rFonts w:ascii="Optima" w:hAnsi="Optima"/>
                <w:color w:val="4A442A"/>
              </w:rPr>
              <w:t>Le syndicat des soins de suite et de réadaptation (FHP-SSR) est l’organisation représentative des 480 établissements privés de SSR. C’est l’un des 3 syndicats de spécialités de la Fédération Hospitalière Privée (FHP).</w:t>
            </w:r>
          </w:p>
          <w:p w14:paraId="3CAC08A4" w14:textId="77777777" w:rsidR="006F68B4" w:rsidRPr="006F68B4" w:rsidRDefault="006F68B4" w:rsidP="006F68B4">
            <w:pPr>
              <w:jc w:val="both"/>
              <w:rPr>
                <w:rFonts w:ascii="Optima" w:hAnsi="Optima"/>
                <w:color w:val="4A442A"/>
              </w:rPr>
            </w:pPr>
            <w:r w:rsidRPr="006F68B4">
              <w:rPr>
                <w:rFonts w:ascii="Optima" w:hAnsi="Optima"/>
                <w:color w:val="4A442A"/>
              </w:rPr>
              <w:br/>
              <w:t>Les centres de SSR privés assurent près du tiers de la prise en charge globale en SSR et accueillent plus de  375 000 patients par an.</w:t>
            </w:r>
          </w:p>
          <w:p w14:paraId="2ED455B8" w14:textId="77777777" w:rsidR="006F68B4" w:rsidRPr="006F68B4" w:rsidRDefault="006F68B4" w:rsidP="006F68B4">
            <w:pPr>
              <w:jc w:val="both"/>
              <w:rPr>
                <w:rFonts w:ascii="Optima" w:hAnsi="Optima"/>
                <w:color w:val="4A442A"/>
              </w:rPr>
            </w:pPr>
            <w:r w:rsidRPr="006F68B4">
              <w:rPr>
                <w:rFonts w:ascii="Optima" w:hAnsi="Optima"/>
                <w:color w:val="4A442A"/>
              </w:rPr>
              <w:br/>
              <w:t>Dans la nouvelle organisation des soins en France, ces établissements se situent en aval des hôpitaux et cliniques de court séjour (MCO) et en amont des maisons de retraite et du domicile. Ils jouent donc un rôle central et charnière dans la « fluidité » de la filière de soins et facilitent ainsi le parcours du patient.</w:t>
            </w:r>
          </w:p>
          <w:p w14:paraId="22E93B07" w14:textId="77777777" w:rsidR="006F68B4" w:rsidRPr="006F68B4" w:rsidRDefault="006F68B4" w:rsidP="006F68B4">
            <w:pPr>
              <w:jc w:val="both"/>
              <w:rPr>
                <w:rFonts w:ascii="Optima" w:hAnsi="Optima"/>
                <w:color w:val="4A442A"/>
              </w:rPr>
            </w:pPr>
            <w:r w:rsidRPr="006F68B4">
              <w:rPr>
                <w:rFonts w:ascii="Optima" w:hAnsi="Optima"/>
                <w:color w:val="4A442A"/>
              </w:rPr>
              <w:br/>
              <w:t>Les établissements privés de SSR développent des prises en charge pour le retour à l’autonomie des patients, suite à une intervention chirurgicale ou à un accident de santé. Ils remplissent donc des missions de rééducation, de réadaptation et de réinsertion sociale. Ils prennent en charge de nombreuses affections liées à la dépendance et/ou au grand âge, touchant l'appareil locomoteur ou encore les systèmes cardio-vasculaire et respiratoire. Ils sont aussi en capacité de répondre au fort développement de pathologies lourdes (AVC, paraplégies, post-infarctus, cancer...) et à la recrudescence des maladies chroniques.</w:t>
            </w:r>
          </w:p>
          <w:p w14:paraId="688A4472" w14:textId="77777777" w:rsidR="006F68B4" w:rsidRPr="006F68B4" w:rsidRDefault="006F68B4" w:rsidP="006F68B4">
            <w:pPr>
              <w:rPr>
                <w:rFonts w:ascii="Optima" w:hAnsi="Optima"/>
                <w:color w:val="4A442A"/>
              </w:rPr>
            </w:pPr>
          </w:p>
        </w:tc>
      </w:tr>
      <w:tr w:rsidR="006F68B4" w:rsidRPr="006F68B4" w14:paraId="3C75E7E1" w14:textId="77777777" w:rsidTr="006F68B4">
        <w:tc>
          <w:tcPr>
            <w:tcW w:w="9206" w:type="dxa"/>
          </w:tcPr>
          <w:p w14:paraId="29EF7B11" w14:textId="77777777" w:rsidR="00AE0B35" w:rsidRDefault="00AE0B35" w:rsidP="006F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Optima" w:hAnsi="Optima"/>
                <w:color w:val="4A442A"/>
              </w:rPr>
            </w:pPr>
          </w:p>
          <w:p w14:paraId="4F6F7587" w14:textId="77777777" w:rsidR="006F68B4" w:rsidRDefault="006F68B4" w:rsidP="006F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Optima" w:hAnsi="Optima"/>
                <w:color w:val="4A442A"/>
              </w:rPr>
            </w:pPr>
            <w:r w:rsidRPr="006F68B4">
              <w:rPr>
                <w:rFonts w:ascii="Optima" w:hAnsi="Optima"/>
                <w:color w:val="4A442A"/>
              </w:rPr>
              <w:t>Contact presse :</w:t>
            </w:r>
          </w:p>
          <w:p w14:paraId="01FCA8B1" w14:textId="77777777" w:rsidR="006F68B4" w:rsidRDefault="006F68B4" w:rsidP="006F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Optima" w:hAnsi="Optima"/>
                <w:color w:val="4A442A"/>
              </w:rPr>
            </w:pPr>
            <w:r w:rsidRPr="006F68B4">
              <w:rPr>
                <w:rFonts w:ascii="Optima" w:hAnsi="Optima"/>
                <w:color w:val="4A442A"/>
              </w:rPr>
              <w:t>Vianne</w:t>
            </w:r>
            <w:r>
              <w:rPr>
                <w:rFonts w:ascii="Optima" w:hAnsi="Optima"/>
                <w:color w:val="4A442A"/>
              </w:rPr>
              <w:t xml:space="preserve">y Le Parquic – 01 40 07 34 22 </w:t>
            </w:r>
          </w:p>
          <w:p w14:paraId="54E05050" w14:textId="77777777" w:rsidR="006F68B4" w:rsidRPr="006F68B4" w:rsidRDefault="00F43CF6" w:rsidP="006F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Optima" w:hAnsi="Optima"/>
                <w:color w:val="4A442A"/>
              </w:rPr>
            </w:pPr>
            <w:hyperlink r:id="rId6" w:history="1">
              <w:r w:rsidR="006F68B4" w:rsidRPr="006F68B4">
                <w:rPr>
                  <w:rStyle w:val="Lienhypertexte"/>
                  <w:rFonts w:ascii="Optima" w:hAnsi="Optima"/>
                </w:rPr>
                <w:t>vianney.leparquic@comfluence.fr</w:t>
              </w:r>
            </w:hyperlink>
          </w:p>
        </w:tc>
      </w:tr>
    </w:tbl>
    <w:p w14:paraId="124D72EA" w14:textId="77777777" w:rsidR="005236FB" w:rsidRPr="006F68B4" w:rsidRDefault="005236FB" w:rsidP="006F68B4">
      <w:pPr>
        <w:jc w:val="center"/>
        <w:rPr>
          <w:rFonts w:ascii="Optima" w:hAnsi="Optima"/>
          <w:color w:val="4A442A"/>
        </w:rPr>
      </w:pPr>
    </w:p>
    <w:sectPr w:rsidR="005236FB" w:rsidRPr="006F68B4" w:rsidSect="005236FB">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Optima">
    <w:panose1 w:val="0200050306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B4"/>
    <w:rsid w:val="005236FB"/>
    <w:rsid w:val="00631865"/>
    <w:rsid w:val="006938B3"/>
    <w:rsid w:val="006F68B4"/>
    <w:rsid w:val="00705BB8"/>
    <w:rsid w:val="00AE0B35"/>
    <w:rsid w:val="00BB3FA4"/>
    <w:rsid w:val="00C36279"/>
    <w:rsid w:val="00C86722"/>
    <w:rsid w:val="00CD71BF"/>
    <w:rsid w:val="00D64686"/>
    <w:rsid w:val="00EB6CAC"/>
    <w:rsid w:val="00F43CF6"/>
    <w:rsid w:val="00FD56A3"/>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2A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6F68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F68B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6F68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F68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vianney.leparquic@comfluence.f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537</Words>
  <Characters>2954</Characters>
  <Application>Microsoft Macintosh Word</Application>
  <DocSecurity>0</DocSecurity>
  <Lines>24</Lines>
  <Paragraphs>6</Paragraphs>
  <ScaleCrop>false</ScaleCrop>
  <Company>COMFLUENCE</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Horner</dc:creator>
  <cp:keywords/>
  <dc:description/>
  <cp:lastModifiedBy>Vincent Lamkin</cp:lastModifiedBy>
  <cp:revision>11</cp:revision>
  <dcterms:created xsi:type="dcterms:W3CDTF">2012-09-25T17:34:00Z</dcterms:created>
  <dcterms:modified xsi:type="dcterms:W3CDTF">2012-09-26T10:27:00Z</dcterms:modified>
</cp:coreProperties>
</file>